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D479F" w14:textId="341682D7" w:rsidR="003532E2" w:rsidRDefault="003532E2" w:rsidP="003532E2">
      <w:pPr>
        <w:shd w:val="clear" w:color="auto" w:fill="FFFFFF"/>
        <w:spacing w:after="0"/>
        <w:jc w:val="center"/>
        <w:rPr>
          <w:rFonts w:ascii="Arial" w:hAnsi="Arial" w:cs="Arial"/>
          <w:b/>
          <w:bCs/>
          <w:sz w:val="24"/>
          <w:szCs w:val="24"/>
        </w:rPr>
      </w:pPr>
      <w:r>
        <w:rPr>
          <w:rFonts w:ascii="Arial" w:hAnsi="Arial" w:cs="Arial"/>
          <w:b/>
          <w:bCs/>
          <w:sz w:val="24"/>
          <w:szCs w:val="24"/>
        </w:rPr>
        <w:t>PORTARIA Nº 198</w:t>
      </w:r>
    </w:p>
    <w:p w14:paraId="45F176E1" w14:textId="260A6FD2" w:rsidR="003532E2" w:rsidRDefault="003532E2" w:rsidP="003532E2">
      <w:pPr>
        <w:shd w:val="clear" w:color="auto" w:fill="FFFFFF"/>
        <w:spacing w:after="0"/>
        <w:jc w:val="center"/>
        <w:rPr>
          <w:rFonts w:ascii="Arial" w:hAnsi="Arial" w:cs="Arial"/>
          <w:bCs/>
          <w:sz w:val="24"/>
          <w:szCs w:val="24"/>
        </w:rPr>
      </w:pPr>
      <w:r>
        <w:rPr>
          <w:rFonts w:ascii="Arial" w:hAnsi="Arial" w:cs="Arial"/>
          <w:bCs/>
          <w:sz w:val="24"/>
          <w:szCs w:val="24"/>
        </w:rPr>
        <w:t>De 02 de maio de 2022</w:t>
      </w:r>
    </w:p>
    <w:p w14:paraId="5B6A6097" w14:textId="77777777" w:rsidR="003532E2" w:rsidRDefault="003532E2" w:rsidP="003532E2">
      <w:pPr>
        <w:shd w:val="clear" w:color="auto" w:fill="FFFFFF"/>
        <w:jc w:val="both"/>
        <w:rPr>
          <w:rFonts w:ascii="Arial" w:hAnsi="Arial" w:cs="Arial"/>
          <w:b/>
          <w:sz w:val="24"/>
          <w:szCs w:val="24"/>
        </w:rPr>
      </w:pPr>
    </w:p>
    <w:p w14:paraId="1B086C4E" w14:textId="77777777" w:rsidR="003532E2" w:rsidRDefault="003532E2" w:rsidP="003532E2">
      <w:pPr>
        <w:shd w:val="clear" w:color="auto" w:fill="FFFFFF"/>
        <w:ind w:left="-142"/>
        <w:jc w:val="both"/>
        <w:rPr>
          <w:rFonts w:ascii="Arial" w:hAnsi="Arial" w:cs="Arial"/>
          <w:bCs/>
          <w:sz w:val="24"/>
          <w:szCs w:val="24"/>
        </w:rPr>
      </w:pPr>
      <w:r>
        <w:rPr>
          <w:rFonts w:ascii="Arial" w:hAnsi="Arial" w:cs="Arial"/>
          <w:bCs/>
          <w:sz w:val="24"/>
          <w:szCs w:val="24"/>
        </w:rPr>
        <w:t>“EXONERA SERVIDOR(A) OCUPANTE DE CARGO DE OPERADOR DE EQUIPAMENTOS, PROVIMENTO EFETIVO POR MOTIVO DE APOSENTADORIA, E DÁ OUTRAS PROVIDÊNCIAS.”</w:t>
      </w:r>
    </w:p>
    <w:p w14:paraId="2D2FB1F2" w14:textId="77777777" w:rsidR="003532E2" w:rsidRDefault="003532E2" w:rsidP="003532E2">
      <w:pPr>
        <w:shd w:val="clear" w:color="auto" w:fill="FFFFFF"/>
        <w:ind w:left="1134"/>
        <w:jc w:val="both"/>
        <w:rPr>
          <w:rFonts w:ascii="Arial" w:hAnsi="Arial" w:cs="Arial"/>
          <w:b/>
          <w:sz w:val="24"/>
          <w:szCs w:val="24"/>
        </w:rPr>
      </w:pPr>
    </w:p>
    <w:p w14:paraId="03F5B0BB" w14:textId="3AD71C04" w:rsidR="003532E2" w:rsidRPr="003532E2" w:rsidRDefault="003532E2" w:rsidP="003532E2">
      <w:pPr>
        <w:shd w:val="clear" w:color="auto" w:fill="FFFFFF"/>
        <w:ind w:firstLine="709"/>
        <w:jc w:val="both"/>
        <w:rPr>
          <w:rFonts w:ascii="Arial" w:hAnsi="Arial" w:cs="Arial"/>
          <w:bCs/>
          <w:sz w:val="24"/>
          <w:szCs w:val="24"/>
        </w:rPr>
      </w:pPr>
      <w:r>
        <w:rPr>
          <w:rFonts w:ascii="Arial" w:hAnsi="Arial" w:cs="Arial"/>
          <w:bCs/>
          <w:sz w:val="24"/>
          <w:szCs w:val="24"/>
        </w:rPr>
        <w:t>ERLON TANCREDO COSTA, Prefeito do Município de Rio Rufino/SC, no uso das atribuições que lhe confere o art. 82, I, “a”, da Lei Orgânica Municipal, e</w:t>
      </w:r>
    </w:p>
    <w:p w14:paraId="538E0ECE" w14:textId="695A9A92" w:rsidR="003532E2" w:rsidRDefault="003532E2" w:rsidP="003532E2">
      <w:pPr>
        <w:shd w:val="clear" w:color="auto" w:fill="FFFFFF"/>
        <w:ind w:firstLine="709"/>
        <w:jc w:val="both"/>
        <w:rPr>
          <w:rFonts w:ascii="Arial" w:hAnsi="Arial" w:cs="Arial"/>
          <w:sz w:val="24"/>
          <w:szCs w:val="24"/>
        </w:rPr>
      </w:pPr>
      <w:r>
        <w:rPr>
          <w:rFonts w:ascii="Arial" w:hAnsi="Arial" w:cs="Arial"/>
          <w:sz w:val="24"/>
          <w:szCs w:val="24"/>
        </w:rPr>
        <w:t>CONSIDERANDO que, pelo advento da concessão de aposentadoria, a exoneração de servidor impõe seu desligamento do serviço público municipal, nos termos do item 1, do Prejulgado do TCE/SC e jurisprudência do Tribunal de Justiça de Santa Catarina, cujos textos, respectivamente, prescrevem:</w:t>
      </w:r>
    </w:p>
    <w:p w14:paraId="0BDAE7EE" w14:textId="77777777" w:rsidR="003532E2" w:rsidRDefault="003532E2" w:rsidP="003532E2">
      <w:pPr>
        <w:shd w:val="clear" w:color="auto" w:fill="FFFFFF"/>
        <w:ind w:left="1134" w:firstLine="709"/>
        <w:jc w:val="both"/>
        <w:rPr>
          <w:rFonts w:ascii="Arial" w:hAnsi="Arial" w:cs="Arial"/>
          <w:i/>
          <w:sz w:val="24"/>
          <w:szCs w:val="24"/>
        </w:rPr>
      </w:pPr>
      <w:r>
        <w:rPr>
          <w:rFonts w:ascii="Arial" w:hAnsi="Arial" w:cs="Arial"/>
          <w:i/>
          <w:sz w:val="24"/>
          <w:szCs w:val="24"/>
        </w:rPr>
        <w:t>TCE/SC:</w:t>
      </w:r>
    </w:p>
    <w:p w14:paraId="680048EF" w14:textId="77777777" w:rsidR="003532E2" w:rsidRDefault="003532E2" w:rsidP="003532E2">
      <w:pPr>
        <w:shd w:val="clear" w:color="auto" w:fill="FFFFFF"/>
        <w:ind w:left="1134" w:firstLine="709"/>
        <w:jc w:val="both"/>
        <w:rPr>
          <w:rFonts w:ascii="Arial" w:hAnsi="Arial" w:cs="Arial"/>
          <w:i/>
          <w:sz w:val="24"/>
          <w:szCs w:val="24"/>
        </w:rPr>
      </w:pPr>
      <w:r>
        <w:rPr>
          <w:rFonts w:ascii="Arial" w:hAnsi="Arial" w:cs="Arial"/>
          <w:i/>
          <w:sz w:val="24"/>
          <w:szCs w:val="24"/>
        </w:rPr>
        <w:t>Prejulgado: 1921</w:t>
      </w:r>
    </w:p>
    <w:p w14:paraId="6DFAF0DB" w14:textId="77777777" w:rsidR="003532E2" w:rsidRDefault="003532E2" w:rsidP="003532E2">
      <w:pPr>
        <w:shd w:val="clear" w:color="auto" w:fill="FFFFFF"/>
        <w:ind w:left="1134" w:firstLine="709"/>
        <w:jc w:val="both"/>
        <w:rPr>
          <w:rFonts w:ascii="Arial" w:hAnsi="Arial" w:cs="Arial"/>
          <w:i/>
          <w:sz w:val="24"/>
          <w:szCs w:val="24"/>
        </w:rPr>
      </w:pPr>
      <w:r>
        <w:rPr>
          <w:rFonts w:ascii="Arial" w:hAnsi="Arial" w:cs="Arial"/>
          <w:i/>
          <w:sz w:val="24"/>
          <w:szCs w:val="24"/>
        </w:rPr>
        <w:t>1. O servidor estatutário que se aposenta voluntária ou compulsoriamente pelo Regime Geral da Previdência Social deve ser desligado do serviço público, pois a aposentadoria é uma situação que gera a vacância do cargo, independentemente do regime previdenciário em que se encontra o servidor.</w:t>
      </w:r>
    </w:p>
    <w:p w14:paraId="74FA285C" w14:textId="53E8BA11" w:rsidR="003532E2" w:rsidRDefault="003532E2" w:rsidP="003532E2">
      <w:pPr>
        <w:shd w:val="clear" w:color="auto" w:fill="FFFFFF"/>
        <w:ind w:left="1134" w:firstLine="709"/>
        <w:jc w:val="both"/>
        <w:rPr>
          <w:rFonts w:ascii="Arial" w:hAnsi="Arial" w:cs="Arial"/>
          <w:i/>
          <w:sz w:val="24"/>
          <w:szCs w:val="24"/>
        </w:rPr>
      </w:pPr>
      <w:r>
        <w:rPr>
          <w:rFonts w:ascii="Arial" w:hAnsi="Arial" w:cs="Arial"/>
          <w:i/>
          <w:sz w:val="24"/>
          <w:szCs w:val="24"/>
        </w:rPr>
        <w:t>(...)</w:t>
      </w:r>
    </w:p>
    <w:p w14:paraId="3BEB4A82" w14:textId="77777777" w:rsidR="003532E2" w:rsidRDefault="003532E2" w:rsidP="003532E2">
      <w:pPr>
        <w:shd w:val="clear" w:color="auto" w:fill="FFFFFF"/>
        <w:ind w:left="1134" w:firstLine="709"/>
        <w:jc w:val="both"/>
        <w:rPr>
          <w:rFonts w:ascii="Arial" w:hAnsi="Arial" w:cs="Arial"/>
          <w:i/>
          <w:sz w:val="24"/>
          <w:szCs w:val="24"/>
        </w:rPr>
      </w:pPr>
      <w:r>
        <w:rPr>
          <w:rFonts w:ascii="Arial" w:hAnsi="Arial" w:cs="Arial"/>
          <w:i/>
          <w:sz w:val="24"/>
          <w:szCs w:val="24"/>
        </w:rPr>
        <w:t>TJSC:</w:t>
      </w:r>
    </w:p>
    <w:p w14:paraId="371977E3" w14:textId="720C0A54" w:rsidR="003532E2" w:rsidRPr="003532E2" w:rsidRDefault="003532E2" w:rsidP="003532E2">
      <w:pPr>
        <w:shd w:val="clear" w:color="auto" w:fill="FFFFFF"/>
        <w:ind w:left="1134" w:firstLine="709"/>
        <w:jc w:val="both"/>
        <w:rPr>
          <w:rFonts w:ascii="Arial" w:hAnsi="Arial" w:cs="Arial"/>
          <w:i/>
          <w:sz w:val="24"/>
          <w:szCs w:val="24"/>
        </w:rPr>
      </w:pPr>
      <w:r>
        <w:rPr>
          <w:rFonts w:ascii="Arial" w:hAnsi="Arial" w:cs="Arial"/>
          <w:i/>
          <w:sz w:val="24"/>
          <w:szCs w:val="24"/>
        </w:rPr>
        <w:t xml:space="preserve">SERVIDORA PÚBLICA. MUNICÍPIO DE NOVA ERECHIM. APOSENTADORIA VOLUNTÁRIA PELO REGIME GERAL DE PREVIDÊNCIA SOCIAL - RGPS. HIPÓTESE DE VACÂNCIA DO CARGO SEGUNDO A LEGISLAÇÃO MUNICIPAL. PLEITO DE REINTEGRAÇÃO, AO ARGUMENTO DE QUE É ADMISSÍVEL A PERCEPÇÃO SIMULTÂNEA DOS PROVENTOS PAGOS PELO INSS (ÓRGÃO PREVIDENCIÁRIO DO MUNICÍPIO) COM A REMUNERAÇÃO DO CARGO PÚBLICO. PRETENSÃO INDEVIDA. IMPOSSIBILIDADE DE RETORNO AO MESMO CARGO SEM APROVAÇÃO EM NOVO CONCURSO PÚBLICO. LEGALIDADE DA EXONERAÇÃO. "O servidor público que se aposenta pelo regime geral de previdência social com a utilização do tempo de serviço prestado junto ao município perde o seu vínculo com a Administração Pública e deve ser exonerado, somente podendo retornar mediante aprovação em novo concurso público para </w:t>
      </w:r>
      <w:r>
        <w:rPr>
          <w:rFonts w:ascii="Arial" w:hAnsi="Arial" w:cs="Arial"/>
          <w:i/>
          <w:sz w:val="24"/>
          <w:szCs w:val="24"/>
        </w:rPr>
        <w:lastRenderedPageBreak/>
        <w:t>cargo acumulável, ou para ocupar cargo eletivo ou comissionado, na forma do § 10 do art. 37 da Constituição Federal" (Apelação Cível n. 0312847-68.2017.8.24.0018, de Chapecó, rel. Des. Paulo Henrique Moritz Martins da Silva, Primeira Câmara de Direito Público, j. 09-06-2020). PLEITO ALTERNATIVO DE COMPLEMENTAÇÃO DOS PROVENTOS DE APOSENTADORIA PELO MUNICÍPIO. NECESSIDADE DE EXISTÊNCIA DE LEGISLAÇÃO ESPECÍFICA. TESE FIRMADA PELO GRUPO DE CÂMARAS DE DIREITO PÚBLICO NO IRDR N. 0001986-53.2013.8.24.0013/50001 (TEMA 14). No julgamento do IRDR n. 0001986-53.2013.8.24.0013/50001 (Tema 14),  o Grupo de Câmaras de Direito Público firmou tese jurídica no sentido de que: "O servidor público aposentado pelo Regime Geral de Previdência Social, após a Emenda Constitucional n. 41/2003, ressalvada a hipótese de ter adquirido o direito à aposentação antes da vigência da respectiva emenda, somente tem direito à complementação dos proventos de aposentadoria mediante a existência de legislação específica, respeitado o princípio da legalidade, o caráter contributivo e o equilíbrio atuarial e financeiro previdenciário. "RECURSO IMPROVIDO. (TJSC, Apelação n. 5002017-64.2019.8.24.0049, do Tribunal de Justiça de Santa Catarina, rel. Sérgio Roberto Baasch Luz, Segunda Câmara de Direito Público, j. 02-02-2021).</w:t>
      </w:r>
    </w:p>
    <w:p w14:paraId="47996645" w14:textId="2236EEA7" w:rsidR="003532E2" w:rsidRDefault="003532E2" w:rsidP="003532E2">
      <w:pPr>
        <w:shd w:val="clear" w:color="auto" w:fill="FFFFFF"/>
        <w:ind w:firstLine="709"/>
        <w:jc w:val="both"/>
        <w:rPr>
          <w:rFonts w:ascii="Arial" w:hAnsi="Arial" w:cs="Arial"/>
          <w:sz w:val="24"/>
          <w:szCs w:val="24"/>
        </w:rPr>
      </w:pPr>
      <w:r>
        <w:rPr>
          <w:rFonts w:ascii="Arial" w:hAnsi="Arial" w:cs="Arial"/>
          <w:sz w:val="24"/>
          <w:szCs w:val="24"/>
        </w:rPr>
        <w:t>CONSIDERANDO que a Lei Municipal nº 733, de 29 de maio de 2019, estabelece processo administrativo de exoneração de servidores aposentados e impede a contratação de pessoal que esteja aposentado pelo Regime Geral de Previdência Social para comporem os quadros do funcionalismo municipal;</w:t>
      </w:r>
    </w:p>
    <w:p w14:paraId="738CB232" w14:textId="012C1EF5" w:rsidR="003532E2" w:rsidRDefault="003532E2" w:rsidP="003532E2">
      <w:pPr>
        <w:shd w:val="clear" w:color="auto" w:fill="FFFFFF"/>
        <w:ind w:firstLine="709"/>
        <w:jc w:val="both"/>
        <w:rPr>
          <w:rFonts w:ascii="Arial" w:hAnsi="Arial" w:cs="Arial"/>
          <w:sz w:val="24"/>
          <w:szCs w:val="24"/>
        </w:rPr>
      </w:pPr>
      <w:r>
        <w:rPr>
          <w:rFonts w:ascii="Arial" w:hAnsi="Arial" w:cs="Arial"/>
          <w:sz w:val="24"/>
          <w:szCs w:val="24"/>
        </w:rPr>
        <w:t xml:space="preserve">CONSIDERANDO o benefício apresentado sob o número </w:t>
      </w:r>
      <w:r w:rsidR="008D75ED">
        <w:rPr>
          <w:rFonts w:ascii="Arial" w:hAnsi="Arial" w:cs="Arial"/>
          <w:sz w:val="24"/>
          <w:szCs w:val="24"/>
        </w:rPr>
        <w:t>198.259.468-0</w:t>
      </w:r>
      <w:r>
        <w:rPr>
          <w:rFonts w:ascii="Arial" w:hAnsi="Arial" w:cs="Arial"/>
          <w:sz w:val="24"/>
          <w:szCs w:val="24"/>
        </w:rPr>
        <w:t xml:space="preserve"> reconhecido pelo INSS.</w:t>
      </w:r>
    </w:p>
    <w:p w14:paraId="600ED354" w14:textId="306E334B" w:rsidR="003532E2" w:rsidRDefault="003532E2" w:rsidP="003532E2">
      <w:pPr>
        <w:shd w:val="clear" w:color="auto" w:fill="FFFFFF"/>
        <w:ind w:firstLine="709"/>
        <w:jc w:val="center"/>
        <w:rPr>
          <w:rFonts w:ascii="Arial" w:hAnsi="Arial" w:cs="Arial"/>
          <w:sz w:val="24"/>
          <w:szCs w:val="24"/>
        </w:rPr>
      </w:pPr>
      <w:r>
        <w:rPr>
          <w:rFonts w:ascii="Arial" w:hAnsi="Arial" w:cs="Arial"/>
          <w:sz w:val="24"/>
          <w:szCs w:val="24"/>
        </w:rPr>
        <w:t>RESOLVE</w:t>
      </w:r>
    </w:p>
    <w:p w14:paraId="07DDE7A5" w14:textId="75D15B80" w:rsidR="003532E2" w:rsidRDefault="003532E2" w:rsidP="003532E2">
      <w:pPr>
        <w:shd w:val="clear" w:color="auto" w:fill="FFFFFF"/>
        <w:ind w:firstLine="709"/>
        <w:jc w:val="both"/>
        <w:rPr>
          <w:rFonts w:ascii="Arial" w:hAnsi="Arial" w:cs="Arial"/>
          <w:sz w:val="24"/>
          <w:szCs w:val="24"/>
        </w:rPr>
      </w:pPr>
      <w:r>
        <w:rPr>
          <w:rFonts w:ascii="Arial" w:hAnsi="Arial" w:cs="Arial"/>
          <w:sz w:val="24"/>
          <w:szCs w:val="24"/>
        </w:rPr>
        <w:t xml:space="preserve">Art.1º Exonerar, por motivo de aposentadoria, o servidor </w:t>
      </w:r>
      <w:r w:rsidR="008D75ED">
        <w:rPr>
          <w:rFonts w:ascii="Arial" w:hAnsi="Arial" w:cs="Arial"/>
          <w:sz w:val="24"/>
          <w:szCs w:val="24"/>
        </w:rPr>
        <w:t>EDSON VALENTIN</w:t>
      </w:r>
      <w:r>
        <w:rPr>
          <w:rFonts w:ascii="Arial" w:hAnsi="Arial" w:cs="Arial"/>
          <w:sz w:val="24"/>
          <w:szCs w:val="24"/>
        </w:rPr>
        <w:t xml:space="preserve"> COSTA, inscrito na matricula nº</w:t>
      </w:r>
      <w:r w:rsidR="008D75ED">
        <w:rPr>
          <w:rFonts w:ascii="Arial" w:hAnsi="Arial" w:cs="Arial"/>
          <w:sz w:val="24"/>
          <w:szCs w:val="24"/>
        </w:rPr>
        <w:t xml:space="preserve"> </w:t>
      </w:r>
      <w:r>
        <w:rPr>
          <w:rFonts w:ascii="Arial" w:hAnsi="Arial" w:cs="Arial"/>
          <w:sz w:val="24"/>
          <w:szCs w:val="24"/>
        </w:rPr>
        <w:t>4</w:t>
      </w:r>
      <w:r w:rsidR="008D75ED">
        <w:rPr>
          <w:rFonts w:ascii="Arial" w:hAnsi="Arial" w:cs="Arial"/>
          <w:sz w:val="24"/>
          <w:szCs w:val="24"/>
        </w:rPr>
        <w:t>3</w:t>
      </w:r>
      <w:r>
        <w:rPr>
          <w:rFonts w:ascii="Arial" w:hAnsi="Arial" w:cs="Arial"/>
          <w:sz w:val="24"/>
          <w:szCs w:val="24"/>
        </w:rPr>
        <w:t xml:space="preserve">, inscrito pelo CPF nº </w:t>
      </w:r>
      <w:r w:rsidR="008D75ED">
        <w:rPr>
          <w:rFonts w:ascii="Arial" w:hAnsi="Arial" w:cs="Arial"/>
          <w:sz w:val="24"/>
          <w:szCs w:val="24"/>
        </w:rPr>
        <w:t>753</w:t>
      </w:r>
      <w:r>
        <w:rPr>
          <w:rFonts w:ascii="Arial" w:hAnsi="Arial" w:cs="Arial"/>
          <w:sz w:val="24"/>
          <w:szCs w:val="24"/>
        </w:rPr>
        <w:t>.</w:t>
      </w:r>
      <w:r w:rsidR="008D75ED">
        <w:rPr>
          <w:rFonts w:ascii="Arial" w:hAnsi="Arial" w:cs="Arial"/>
          <w:sz w:val="24"/>
          <w:szCs w:val="24"/>
        </w:rPr>
        <w:t>***.***-91</w:t>
      </w:r>
      <w:r>
        <w:rPr>
          <w:rFonts w:ascii="Arial" w:hAnsi="Arial" w:cs="Arial"/>
          <w:sz w:val="24"/>
          <w:szCs w:val="24"/>
        </w:rPr>
        <w:t xml:space="preserve">, ocupante do cargo </w:t>
      </w:r>
      <w:r w:rsidR="008D75ED">
        <w:rPr>
          <w:rFonts w:ascii="Arial" w:hAnsi="Arial" w:cs="Arial"/>
          <w:sz w:val="24"/>
          <w:szCs w:val="24"/>
        </w:rPr>
        <w:t>de Operador de Equipamentos</w:t>
      </w:r>
      <w:r>
        <w:rPr>
          <w:rFonts w:ascii="Arial" w:hAnsi="Arial" w:cs="Arial"/>
          <w:sz w:val="24"/>
          <w:szCs w:val="24"/>
        </w:rPr>
        <w:t>.</w:t>
      </w:r>
    </w:p>
    <w:p w14:paraId="5DDCE73C" w14:textId="6257F73F" w:rsidR="003532E2" w:rsidRDefault="003532E2" w:rsidP="003532E2">
      <w:pPr>
        <w:shd w:val="clear" w:color="auto" w:fill="FFFFFF"/>
        <w:ind w:firstLine="709"/>
        <w:jc w:val="both"/>
        <w:rPr>
          <w:rFonts w:ascii="Arial" w:hAnsi="Arial" w:cs="Arial"/>
          <w:sz w:val="24"/>
          <w:szCs w:val="24"/>
        </w:rPr>
      </w:pPr>
      <w:r>
        <w:rPr>
          <w:rFonts w:ascii="Arial" w:hAnsi="Arial" w:cs="Arial"/>
          <w:sz w:val="24"/>
          <w:szCs w:val="24"/>
        </w:rPr>
        <w:t>Art. 2º Esta portaria entra em vigor na data de sua publicação.</w:t>
      </w:r>
    </w:p>
    <w:tbl>
      <w:tblPr>
        <w:tblpPr w:leftFromText="141" w:rightFromText="141" w:vertAnchor="page" w:horzAnchor="margin" w:tblpY="1330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5"/>
      </w:tblGrid>
      <w:tr w:rsidR="003532E2" w14:paraId="70D70307" w14:textId="77777777" w:rsidTr="003532E2">
        <w:trPr>
          <w:trHeight w:val="1700"/>
        </w:trPr>
        <w:tc>
          <w:tcPr>
            <w:tcW w:w="3385" w:type="dxa"/>
            <w:tcBorders>
              <w:top w:val="single" w:sz="4" w:space="0" w:color="auto"/>
              <w:left w:val="single" w:sz="4" w:space="0" w:color="auto"/>
              <w:bottom w:val="single" w:sz="4" w:space="0" w:color="auto"/>
              <w:right w:val="single" w:sz="4" w:space="0" w:color="auto"/>
            </w:tcBorders>
          </w:tcPr>
          <w:p w14:paraId="740317F9" w14:textId="77777777" w:rsidR="003532E2" w:rsidRPr="003532E2" w:rsidRDefault="003532E2" w:rsidP="003532E2">
            <w:pPr>
              <w:pBdr>
                <w:bottom w:val="single" w:sz="12" w:space="1" w:color="auto"/>
              </w:pBdr>
              <w:spacing w:after="0" w:line="240" w:lineRule="auto"/>
              <w:jc w:val="center"/>
              <w:rPr>
                <w:rFonts w:ascii="Arial" w:hAnsi="Arial" w:cs="Arial"/>
                <w:sz w:val="20"/>
                <w:szCs w:val="20"/>
              </w:rPr>
            </w:pPr>
            <w:r w:rsidRPr="003532E2">
              <w:rPr>
                <w:rFonts w:ascii="Arial" w:hAnsi="Arial" w:cs="Arial"/>
                <w:sz w:val="20"/>
                <w:szCs w:val="20"/>
              </w:rPr>
              <w:t xml:space="preserve">Encaminhado para publicação no DOM em </w:t>
            </w:r>
          </w:p>
          <w:p w14:paraId="35BB8FB6" w14:textId="504D919B" w:rsidR="003532E2" w:rsidRPr="003532E2" w:rsidRDefault="008D75ED" w:rsidP="003532E2">
            <w:pPr>
              <w:pBdr>
                <w:bottom w:val="single" w:sz="12" w:space="1" w:color="auto"/>
              </w:pBdr>
              <w:spacing w:after="0" w:line="240" w:lineRule="auto"/>
              <w:jc w:val="center"/>
              <w:rPr>
                <w:rFonts w:ascii="Arial" w:hAnsi="Arial" w:cs="Arial"/>
                <w:sz w:val="20"/>
                <w:szCs w:val="20"/>
              </w:rPr>
            </w:pPr>
            <w:r>
              <w:rPr>
                <w:rFonts w:ascii="Arial" w:hAnsi="Arial" w:cs="Arial"/>
                <w:sz w:val="20"/>
                <w:szCs w:val="20"/>
              </w:rPr>
              <w:t>02</w:t>
            </w:r>
            <w:r w:rsidR="003532E2" w:rsidRPr="003532E2">
              <w:rPr>
                <w:rFonts w:ascii="Arial" w:hAnsi="Arial" w:cs="Arial"/>
                <w:sz w:val="20"/>
                <w:szCs w:val="20"/>
              </w:rPr>
              <w:t>/</w:t>
            </w:r>
            <w:r>
              <w:rPr>
                <w:rFonts w:ascii="Arial" w:hAnsi="Arial" w:cs="Arial"/>
                <w:sz w:val="20"/>
                <w:szCs w:val="20"/>
              </w:rPr>
              <w:t>05</w:t>
            </w:r>
            <w:r w:rsidR="003532E2" w:rsidRPr="003532E2">
              <w:rPr>
                <w:rFonts w:ascii="Arial" w:hAnsi="Arial" w:cs="Arial"/>
                <w:sz w:val="20"/>
                <w:szCs w:val="20"/>
              </w:rPr>
              <w:t>//2022</w:t>
            </w:r>
          </w:p>
          <w:p w14:paraId="77851474" w14:textId="77777777" w:rsidR="003532E2" w:rsidRPr="003532E2" w:rsidRDefault="003532E2" w:rsidP="003532E2">
            <w:pPr>
              <w:pBdr>
                <w:bottom w:val="single" w:sz="12" w:space="1" w:color="auto"/>
              </w:pBdr>
              <w:spacing w:after="0" w:line="240" w:lineRule="auto"/>
              <w:jc w:val="center"/>
              <w:rPr>
                <w:rFonts w:ascii="Arial" w:hAnsi="Arial" w:cs="Arial"/>
                <w:sz w:val="20"/>
                <w:szCs w:val="20"/>
              </w:rPr>
            </w:pPr>
          </w:p>
          <w:p w14:paraId="476E9017" w14:textId="77777777" w:rsidR="003532E2" w:rsidRPr="003532E2" w:rsidRDefault="003532E2" w:rsidP="003532E2">
            <w:pPr>
              <w:pBdr>
                <w:bottom w:val="single" w:sz="12" w:space="1" w:color="auto"/>
              </w:pBdr>
              <w:spacing w:after="0" w:line="240" w:lineRule="auto"/>
              <w:jc w:val="center"/>
              <w:rPr>
                <w:rFonts w:ascii="Arial" w:hAnsi="Arial" w:cs="Arial"/>
                <w:sz w:val="20"/>
                <w:szCs w:val="20"/>
              </w:rPr>
            </w:pPr>
            <w:r w:rsidRPr="003532E2">
              <w:rPr>
                <w:rFonts w:ascii="Arial" w:hAnsi="Arial" w:cs="Arial"/>
                <w:sz w:val="20"/>
                <w:szCs w:val="20"/>
              </w:rPr>
              <w:t>Katiusce Marina Andrade Abreu</w:t>
            </w:r>
          </w:p>
          <w:p w14:paraId="00810630" w14:textId="039C081A" w:rsidR="003532E2" w:rsidRPr="003532E2" w:rsidRDefault="003532E2" w:rsidP="003532E2">
            <w:pPr>
              <w:shd w:val="clear" w:color="auto" w:fill="FFFFFF"/>
              <w:spacing w:line="240" w:lineRule="auto"/>
              <w:jc w:val="center"/>
              <w:rPr>
                <w:rFonts w:ascii="Arial" w:hAnsi="Arial" w:cs="Arial"/>
                <w:sz w:val="20"/>
                <w:szCs w:val="20"/>
              </w:rPr>
            </w:pPr>
            <w:r w:rsidRPr="003532E2">
              <w:rPr>
                <w:rFonts w:ascii="Arial" w:hAnsi="Arial" w:cs="Arial"/>
                <w:sz w:val="20"/>
                <w:szCs w:val="20"/>
              </w:rPr>
              <w:t>Sec. de Planejamento, Administração e Finanças.</w:t>
            </w:r>
          </w:p>
        </w:tc>
      </w:tr>
    </w:tbl>
    <w:p w14:paraId="5F54F003" w14:textId="2F737527" w:rsidR="003532E2" w:rsidRDefault="003532E2" w:rsidP="003532E2">
      <w:pPr>
        <w:shd w:val="clear" w:color="auto" w:fill="FFFFFF"/>
        <w:ind w:firstLine="709"/>
        <w:jc w:val="right"/>
        <w:rPr>
          <w:rFonts w:ascii="Arial" w:hAnsi="Arial" w:cs="Arial"/>
          <w:b/>
          <w:sz w:val="24"/>
          <w:szCs w:val="24"/>
        </w:rPr>
      </w:pPr>
      <w:r>
        <w:rPr>
          <w:rFonts w:ascii="Arial" w:hAnsi="Arial" w:cs="Arial"/>
          <w:sz w:val="24"/>
          <w:szCs w:val="24"/>
        </w:rPr>
        <w:t>Rio Rufino/SC, 02 de maio de 2022</w:t>
      </w:r>
      <w:r>
        <w:rPr>
          <w:rFonts w:ascii="Arial" w:hAnsi="Arial" w:cs="Arial"/>
          <w:b/>
          <w:sz w:val="24"/>
          <w:szCs w:val="24"/>
        </w:rPr>
        <w:t>.</w:t>
      </w:r>
    </w:p>
    <w:p w14:paraId="58889308" w14:textId="77777777" w:rsidR="003532E2" w:rsidRDefault="003532E2" w:rsidP="003532E2">
      <w:pPr>
        <w:shd w:val="clear" w:color="auto" w:fill="FFFFFF"/>
        <w:jc w:val="right"/>
        <w:rPr>
          <w:rFonts w:ascii="Arial" w:hAnsi="Arial" w:cs="Arial"/>
          <w:b/>
          <w:sz w:val="24"/>
          <w:szCs w:val="24"/>
        </w:rPr>
      </w:pPr>
    </w:p>
    <w:p w14:paraId="34D4BED1" w14:textId="77777777" w:rsidR="003532E2" w:rsidRDefault="003532E2" w:rsidP="003532E2">
      <w:pPr>
        <w:shd w:val="clear" w:color="auto" w:fill="FFFFFF"/>
        <w:spacing w:after="0"/>
        <w:ind w:left="2832"/>
        <w:rPr>
          <w:rFonts w:ascii="Arial" w:hAnsi="Arial" w:cs="Arial"/>
          <w:b/>
          <w:sz w:val="24"/>
          <w:szCs w:val="24"/>
        </w:rPr>
      </w:pPr>
      <w:r>
        <w:rPr>
          <w:rFonts w:ascii="Arial" w:hAnsi="Arial" w:cs="Arial"/>
          <w:b/>
          <w:sz w:val="24"/>
          <w:szCs w:val="24"/>
        </w:rPr>
        <w:t xml:space="preserve">               </w:t>
      </w:r>
    </w:p>
    <w:p w14:paraId="0A7D81FC" w14:textId="6A0F9ADC" w:rsidR="003532E2" w:rsidRDefault="003532E2" w:rsidP="003532E2">
      <w:pPr>
        <w:shd w:val="clear" w:color="auto" w:fill="FFFFFF"/>
        <w:spacing w:after="0"/>
        <w:ind w:left="2832"/>
        <w:rPr>
          <w:rFonts w:ascii="Arial" w:hAnsi="Arial" w:cs="Arial"/>
          <w:b/>
          <w:sz w:val="24"/>
          <w:szCs w:val="24"/>
        </w:rPr>
      </w:pPr>
      <w:r>
        <w:rPr>
          <w:rFonts w:ascii="Arial" w:hAnsi="Arial" w:cs="Arial"/>
          <w:b/>
          <w:sz w:val="24"/>
          <w:szCs w:val="24"/>
        </w:rPr>
        <w:t xml:space="preserve">                    ERLON TANCREDO COSTA</w:t>
      </w:r>
    </w:p>
    <w:p w14:paraId="0BF05F7D" w14:textId="4389208C" w:rsidR="003532E2" w:rsidRDefault="003532E2" w:rsidP="003532E2">
      <w:pPr>
        <w:shd w:val="clear" w:color="auto" w:fill="FFFFFF"/>
        <w:spacing w:after="0"/>
        <w:jc w:val="center"/>
        <w:rPr>
          <w:rFonts w:ascii="Arial" w:hAnsi="Arial" w:cs="Arial"/>
          <w:sz w:val="24"/>
          <w:szCs w:val="24"/>
        </w:rPr>
      </w:pPr>
      <w:r>
        <w:rPr>
          <w:rFonts w:ascii="Arial" w:hAnsi="Arial" w:cs="Arial"/>
          <w:sz w:val="24"/>
          <w:szCs w:val="24"/>
        </w:rPr>
        <w:t xml:space="preserve"> Prefeito d de Rio Rufino</w:t>
      </w:r>
    </w:p>
    <w:p w14:paraId="08C58047" w14:textId="28DA3B7F" w:rsidR="008469A3" w:rsidRPr="003532E2" w:rsidRDefault="008469A3" w:rsidP="003532E2"/>
    <w:sectPr w:rsidR="008469A3" w:rsidRPr="003532E2" w:rsidSect="008E325F">
      <w:headerReference w:type="default" r:id="rId8"/>
      <w:footerReference w:type="default" r:id="rId9"/>
      <w:pgSz w:w="11906" w:h="16838" w:code="9"/>
      <w:pgMar w:top="1701" w:right="1134" w:bottom="1134" w:left="1701" w:header="851"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817EF" w14:textId="77777777" w:rsidR="00ED6A2C" w:rsidRDefault="00ED6A2C" w:rsidP="007F4FE6">
      <w:pPr>
        <w:spacing w:after="0" w:line="240" w:lineRule="auto"/>
      </w:pPr>
      <w:r>
        <w:separator/>
      </w:r>
    </w:p>
  </w:endnote>
  <w:endnote w:type="continuationSeparator" w:id="0">
    <w:p w14:paraId="0CAF96EE" w14:textId="77777777" w:rsidR="00ED6A2C" w:rsidRDefault="00ED6A2C"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78A4" w14:textId="15CB4459" w:rsidR="00B17860" w:rsidRDefault="00B17860" w:rsidP="00B17860">
    <w:pPr>
      <w:jc w:val="center"/>
    </w:pPr>
    <w:r>
      <w:rPr>
        <w:noProof/>
        <w:lang w:eastAsia="pt-BR"/>
      </w:rPr>
      <w:drawing>
        <wp:anchor distT="0" distB="0" distL="114300" distR="114300" simplePos="0" relativeHeight="251665408" behindDoc="1" locked="0" layoutInCell="1" allowOverlap="1" wp14:anchorId="1CCB6D2B" wp14:editId="3A829073">
          <wp:simplePos x="0" y="0"/>
          <wp:positionH relativeFrom="page">
            <wp:posOffset>16510</wp:posOffset>
          </wp:positionH>
          <wp:positionV relativeFrom="paragraph">
            <wp:posOffset>9525</wp:posOffset>
          </wp:positionV>
          <wp:extent cx="7534275" cy="1123950"/>
          <wp:effectExtent l="0" t="0" r="9525" b="0"/>
          <wp:wrapNone/>
          <wp:docPr id="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540B29" w14:textId="7D68B297" w:rsidR="00B17860" w:rsidRPr="00EC7BB1" w:rsidRDefault="00B17860" w:rsidP="00F91D2A">
    <w:pPr>
      <w:spacing w:after="0" w:line="240" w:lineRule="auto"/>
      <w:jc w:val="center"/>
      <w:rPr>
        <w:rFonts w:ascii="Arial" w:hAnsi="Arial" w:cs="Arial"/>
        <w:b/>
        <w:color w:val="000000" w:themeColor="text1"/>
        <w:sz w:val="20"/>
        <w:szCs w:val="20"/>
      </w:rPr>
    </w:pPr>
    <w:r w:rsidRPr="00EC7BB1">
      <w:rPr>
        <w:rFonts w:ascii="Arial" w:hAnsi="Arial" w:cs="Arial"/>
        <w:b/>
        <w:color w:val="000000" w:themeColor="text1"/>
        <w:sz w:val="20"/>
        <w:szCs w:val="20"/>
      </w:rPr>
      <w:t>Sede Administrativa: Avenida José Oselame, nº 209, Centro, Rio Rufino, Santa Catarina,</w:t>
    </w:r>
  </w:p>
  <w:p w14:paraId="34F7D899" w14:textId="5C94FB59" w:rsidR="00B17860" w:rsidRPr="00EC7BB1" w:rsidRDefault="00B17860" w:rsidP="00B17860">
    <w:pPr>
      <w:spacing w:after="0" w:line="240" w:lineRule="auto"/>
      <w:jc w:val="center"/>
      <w:rPr>
        <w:rFonts w:ascii="Arial" w:hAnsi="Arial" w:cs="Arial"/>
        <w:sz w:val="20"/>
        <w:szCs w:val="20"/>
      </w:rPr>
    </w:pPr>
    <w:r w:rsidRPr="00EC7BB1">
      <w:rPr>
        <w:rFonts w:ascii="Arial" w:hAnsi="Arial" w:cs="Arial"/>
        <w:b/>
        <w:color w:val="000000" w:themeColor="text1"/>
        <w:sz w:val="20"/>
        <w:szCs w:val="20"/>
      </w:rPr>
      <w:t>CEP: 88.658-000 - Fone: (49) 3279-0000 - CNPJ: 95.991.071/0001-00</w:t>
    </w:r>
    <w:r w:rsidR="00EC7BB1">
      <w:rPr>
        <w:rFonts w:ascii="Arial" w:hAnsi="Arial" w:cs="Arial"/>
        <w:sz w:val="20"/>
        <w:szCs w:val="20"/>
      </w:rPr>
      <w:t>.</w:t>
    </w:r>
  </w:p>
  <w:p w14:paraId="3209CF58" w14:textId="03A60B6D" w:rsidR="00B17860" w:rsidRPr="00B17860" w:rsidRDefault="00EC7BB1" w:rsidP="00EC7BB1">
    <w:pPr>
      <w:tabs>
        <w:tab w:val="left" w:pos="8953"/>
      </w:tabs>
      <w:spacing w:after="0" w:line="240" w:lineRule="auto"/>
      <w:rPr>
        <w:rFonts w:ascii="Arial" w:hAnsi="Arial" w:cs="Arial"/>
        <w:sz w:val="24"/>
        <w:szCs w:val="24"/>
      </w:rPr>
    </w:pPr>
    <w:r>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0404E" w14:textId="77777777" w:rsidR="00ED6A2C" w:rsidRDefault="00ED6A2C" w:rsidP="007F4FE6">
      <w:pPr>
        <w:spacing w:after="0" w:line="240" w:lineRule="auto"/>
      </w:pPr>
      <w:bookmarkStart w:id="0" w:name="_Hlk80732761"/>
      <w:bookmarkEnd w:id="0"/>
      <w:r>
        <w:separator/>
      </w:r>
    </w:p>
  </w:footnote>
  <w:footnote w:type="continuationSeparator" w:id="0">
    <w:p w14:paraId="69D27F28" w14:textId="77777777" w:rsidR="00ED6A2C" w:rsidRDefault="00ED6A2C" w:rsidP="007F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39D3" w14:textId="001AB7EE" w:rsidR="00975A26" w:rsidRPr="00D22BF6" w:rsidRDefault="008E325F" w:rsidP="00F91D2A">
    <w:pPr>
      <w:pStyle w:val="Cabealho"/>
      <w:ind w:left="-1701"/>
      <w:jc w:val="center"/>
      <w:rPr>
        <w:rFonts w:ascii="Arial" w:hAnsi="Arial" w:cs="Arial"/>
        <w:b/>
        <w:sz w:val="24"/>
        <w:szCs w:val="24"/>
      </w:rPr>
    </w:pPr>
    <w:r w:rsidRPr="002778E4">
      <w:rPr>
        <w:noProof/>
        <w:lang w:eastAsia="pt-BR"/>
      </w:rPr>
      <w:drawing>
        <wp:anchor distT="0" distB="0" distL="114300" distR="114300" simplePos="0" relativeHeight="251674624" behindDoc="0" locked="0" layoutInCell="1" allowOverlap="1" wp14:anchorId="69FDA8A2" wp14:editId="6F442CFB">
          <wp:simplePos x="0" y="0"/>
          <wp:positionH relativeFrom="page">
            <wp:posOffset>6400800</wp:posOffset>
          </wp:positionH>
          <wp:positionV relativeFrom="paragraph">
            <wp:posOffset>13335</wp:posOffset>
          </wp:positionV>
          <wp:extent cx="770255" cy="53340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25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68480" behindDoc="1" locked="0" layoutInCell="1" allowOverlap="1" wp14:anchorId="448AEFF8" wp14:editId="7DF7EE5C">
          <wp:simplePos x="0" y="0"/>
          <wp:positionH relativeFrom="margin">
            <wp:posOffset>-1070610</wp:posOffset>
          </wp:positionH>
          <wp:positionV relativeFrom="paragraph">
            <wp:posOffset>-177165</wp:posOffset>
          </wp:positionV>
          <wp:extent cx="9643257" cy="893445"/>
          <wp:effectExtent l="0" t="0" r="0" b="1905"/>
          <wp:wrapNone/>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2">
                    <a:extLst>
                      <a:ext uri="{28A0092B-C50C-407E-A947-70E740481C1C}">
                        <a14:useLocalDpi xmlns:a14="http://schemas.microsoft.com/office/drawing/2010/main" val="0"/>
                      </a:ext>
                    </a:extLst>
                  </a:blip>
                  <a:srcRect l="1" t="1" r="369" b="22222"/>
                  <a:stretch/>
                </pic:blipFill>
                <pic:spPr bwMode="auto">
                  <a:xfrm flipV="1">
                    <a:off x="0" y="0"/>
                    <a:ext cx="9643257" cy="8934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67456" behindDoc="1" locked="0" layoutInCell="1" allowOverlap="1" wp14:anchorId="1FEE62A0" wp14:editId="64AE0D51">
          <wp:simplePos x="0" y="0"/>
          <wp:positionH relativeFrom="page">
            <wp:align>right</wp:align>
          </wp:positionH>
          <wp:positionV relativeFrom="paragraph">
            <wp:posOffset>-354965</wp:posOffset>
          </wp:positionV>
          <wp:extent cx="7534275" cy="1123950"/>
          <wp:effectExtent l="0" t="0" r="9525" b="0"/>
          <wp:wrapNone/>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2">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70528" behindDoc="0" locked="0" layoutInCell="1" allowOverlap="1" wp14:anchorId="1537FBFA" wp14:editId="663DCB12">
          <wp:simplePos x="0" y="0"/>
          <wp:positionH relativeFrom="leftMargin">
            <wp:posOffset>152400</wp:posOffset>
          </wp:positionH>
          <wp:positionV relativeFrom="paragraph">
            <wp:posOffset>-110490</wp:posOffset>
          </wp:positionV>
          <wp:extent cx="828675" cy="597535"/>
          <wp:effectExtent l="0" t="0" r="9525"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28675" cy="597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5A26" w:rsidRPr="00D22BF6">
      <w:rPr>
        <w:rFonts w:ascii="Arial" w:hAnsi="Arial" w:cs="Arial"/>
        <w:b/>
        <w:sz w:val="24"/>
        <w:szCs w:val="24"/>
      </w:rPr>
      <w:t>ESTADO DE SANTA CATARINA</w:t>
    </w:r>
  </w:p>
  <w:p w14:paraId="761A429E" w14:textId="68329F48" w:rsidR="00975A26" w:rsidRDefault="00975A26" w:rsidP="00EC7BB1">
    <w:pPr>
      <w:pStyle w:val="Cabealho"/>
      <w:tabs>
        <w:tab w:val="center" w:pos="4278"/>
        <w:tab w:val="center" w:pos="5128"/>
        <w:tab w:val="left" w:pos="7650"/>
        <w:tab w:val="left" w:pos="9165"/>
      </w:tabs>
      <w:jc w:val="center"/>
      <w:rPr>
        <w:rFonts w:ascii="Arial" w:hAnsi="Arial" w:cs="Arial"/>
        <w:b/>
        <w:sz w:val="24"/>
        <w:szCs w:val="24"/>
      </w:rPr>
    </w:pPr>
    <w:r w:rsidRPr="00D22BF6">
      <w:rPr>
        <w:rFonts w:ascii="Arial" w:hAnsi="Arial" w:cs="Arial"/>
        <w:b/>
        <w:sz w:val="24"/>
        <w:szCs w:val="24"/>
      </w:rPr>
      <w:t xml:space="preserve">PREFEITURA </w:t>
    </w:r>
    <w:r>
      <w:rPr>
        <w:rFonts w:ascii="Arial" w:hAnsi="Arial" w:cs="Arial"/>
        <w:b/>
        <w:sz w:val="24"/>
        <w:szCs w:val="24"/>
      </w:rPr>
      <w:t>DE RIO RUFINO</w:t>
    </w:r>
  </w:p>
  <w:p w14:paraId="687AA7F9" w14:textId="1E0577CA" w:rsidR="00975A26" w:rsidRDefault="00975A26" w:rsidP="00975A26">
    <w:pPr>
      <w:pStyle w:val="Cabealho"/>
      <w:contextualSpacing/>
      <w:jc w:val="center"/>
      <w:rPr>
        <w:rFonts w:ascii="Arial" w:hAnsi="Arial" w:cs="Arial"/>
        <w:b/>
        <w:sz w:val="24"/>
        <w:szCs w:val="24"/>
      </w:rPr>
    </w:pPr>
    <w:r>
      <w:rPr>
        <w:rFonts w:ascii="Arial" w:hAnsi="Arial" w:cs="Arial"/>
        <w:b/>
        <w:sz w:val="24"/>
        <w:szCs w:val="24"/>
      </w:rPr>
      <w:t>GABINETE DO PREFEITO</w:t>
    </w:r>
  </w:p>
  <w:p w14:paraId="597AA36B" w14:textId="3E93B132" w:rsidR="00D22BF6" w:rsidRPr="00975A26" w:rsidRDefault="00D22BF6" w:rsidP="00975A26">
    <w:pPr>
      <w:pStyle w:val="Cabealho"/>
      <w:tabs>
        <w:tab w:val="clear" w:pos="4252"/>
        <w:tab w:val="clear" w:pos="8504"/>
        <w:tab w:val="left" w:pos="27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9B239D"/>
    <w:multiLevelType w:val="hybridMultilevel"/>
    <w:tmpl w:val="C16E3E4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6E881F18"/>
    <w:multiLevelType w:val="hybridMultilevel"/>
    <w:tmpl w:val="3FDAE5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16cid:durableId="848519025">
    <w:abstractNumId w:val="0"/>
  </w:num>
  <w:num w:numId="2" w16cid:durableId="356397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D9"/>
    <w:rsid w:val="0000240F"/>
    <w:rsid w:val="00007E09"/>
    <w:rsid w:val="00014708"/>
    <w:rsid w:val="00027202"/>
    <w:rsid w:val="00032312"/>
    <w:rsid w:val="00033601"/>
    <w:rsid w:val="00035AAB"/>
    <w:rsid w:val="00036D56"/>
    <w:rsid w:val="00042D18"/>
    <w:rsid w:val="000700C7"/>
    <w:rsid w:val="00071850"/>
    <w:rsid w:val="0007697D"/>
    <w:rsid w:val="00083D6F"/>
    <w:rsid w:val="000947C5"/>
    <w:rsid w:val="00094BA7"/>
    <w:rsid w:val="00097ECD"/>
    <w:rsid w:val="000A288C"/>
    <w:rsid w:val="000A4281"/>
    <w:rsid w:val="000B501F"/>
    <w:rsid w:val="000C7514"/>
    <w:rsid w:val="000D0F86"/>
    <w:rsid w:val="000D597F"/>
    <w:rsid w:val="000D59D5"/>
    <w:rsid w:val="000E0099"/>
    <w:rsid w:val="000E21C2"/>
    <w:rsid w:val="000F07F5"/>
    <w:rsid w:val="00111C8D"/>
    <w:rsid w:val="00124ACF"/>
    <w:rsid w:val="0013693A"/>
    <w:rsid w:val="00150243"/>
    <w:rsid w:val="00150E1F"/>
    <w:rsid w:val="00152A19"/>
    <w:rsid w:val="001622CD"/>
    <w:rsid w:val="00162F0E"/>
    <w:rsid w:val="0017353A"/>
    <w:rsid w:val="001765B4"/>
    <w:rsid w:val="00182BB1"/>
    <w:rsid w:val="00190354"/>
    <w:rsid w:val="00194963"/>
    <w:rsid w:val="00197AE9"/>
    <w:rsid w:val="001A4D8B"/>
    <w:rsid w:val="001B3754"/>
    <w:rsid w:val="001B74BF"/>
    <w:rsid w:val="001B7668"/>
    <w:rsid w:val="001C4F35"/>
    <w:rsid w:val="001D039D"/>
    <w:rsid w:val="001D1507"/>
    <w:rsid w:val="001D16E5"/>
    <w:rsid w:val="001D41B7"/>
    <w:rsid w:val="001E617B"/>
    <w:rsid w:val="001E7E81"/>
    <w:rsid w:val="001F0B2E"/>
    <w:rsid w:val="001F139E"/>
    <w:rsid w:val="001F6FC8"/>
    <w:rsid w:val="00200CCC"/>
    <w:rsid w:val="00206690"/>
    <w:rsid w:val="00226365"/>
    <w:rsid w:val="00227F0A"/>
    <w:rsid w:val="00233B99"/>
    <w:rsid w:val="0023541E"/>
    <w:rsid w:val="00240C9C"/>
    <w:rsid w:val="00241D91"/>
    <w:rsid w:val="00243E70"/>
    <w:rsid w:val="002458E9"/>
    <w:rsid w:val="00245BEC"/>
    <w:rsid w:val="00247F68"/>
    <w:rsid w:val="00263C7D"/>
    <w:rsid w:val="0027141B"/>
    <w:rsid w:val="00272576"/>
    <w:rsid w:val="002778E4"/>
    <w:rsid w:val="00280C01"/>
    <w:rsid w:val="002811BB"/>
    <w:rsid w:val="0028447C"/>
    <w:rsid w:val="00286483"/>
    <w:rsid w:val="002929F6"/>
    <w:rsid w:val="002C1224"/>
    <w:rsid w:val="002E29C4"/>
    <w:rsid w:val="00301D22"/>
    <w:rsid w:val="003070CF"/>
    <w:rsid w:val="00310DEC"/>
    <w:rsid w:val="003300D4"/>
    <w:rsid w:val="003343BC"/>
    <w:rsid w:val="003347FB"/>
    <w:rsid w:val="0034170E"/>
    <w:rsid w:val="003423AC"/>
    <w:rsid w:val="0034566D"/>
    <w:rsid w:val="00345A2D"/>
    <w:rsid w:val="003469E2"/>
    <w:rsid w:val="003477FF"/>
    <w:rsid w:val="003532E2"/>
    <w:rsid w:val="00360B36"/>
    <w:rsid w:val="00365BE2"/>
    <w:rsid w:val="00381DE5"/>
    <w:rsid w:val="00381E68"/>
    <w:rsid w:val="00385C4E"/>
    <w:rsid w:val="00385CC4"/>
    <w:rsid w:val="00390F21"/>
    <w:rsid w:val="003970BC"/>
    <w:rsid w:val="003A68B5"/>
    <w:rsid w:val="003B2498"/>
    <w:rsid w:val="003B3F9C"/>
    <w:rsid w:val="003B539A"/>
    <w:rsid w:val="003C4257"/>
    <w:rsid w:val="003D0383"/>
    <w:rsid w:val="003D44E9"/>
    <w:rsid w:val="003F553B"/>
    <w:rsid w:val="003F72D8"/>
    <w:rsid w:val="0041487F"/>
    <w:rsid w:val="00414E97"/>
    <w:rsid w:val="00415346"/>
    <w:rsid w:val="004156A6"/>
    <w:rsid w:val="00416FAA"/>
    <w:rsid w:val="00421BE4"/>
    <w:rsid w:val="00432802"/>
    <w:rsid w:val="00434A77"/>
    <w:rsid w:val="0045250E"/>
    <w:rsid w:val="00464E1F"/>
    <w:rsid w:val="004852BC"/>
    <w:rsid w:val="00494F13"/>
    <w:rsid w:val="004A1536"/>
    <w:rsid w:val="004B00B4"/>
    <w:rsid w:val="004B1870"/>
    <w:rsid w:val="004B22FC"/>
    <w:rsid w:val="004B408B"/>
    <w:rsid w:val="004B4BB3"/>
    <w:rsid w:val="004B63E4"/>
    <w:rsid w:val="004B7B69"/>
    <w:rsid w:val="004C0292"/>
    <w:rsid w:val="004C0C50"/>
    <w:rsid w:val="004C1FCB"/>
    <w:rsid w:val="004C2298"/>
    <w:rsid w:val="004C404C"/>
    <w:rsid w:val="004C7C76"/>
    <w:rsid w:val="004D2556"/>
    <w:rsid w:val="004D4348"/>
    <w:rsid w:val="004E1AB6"/>
    <w:rsid w:val="004F2F77"/>
    <w:rsid w:val="00500A73"/>
    <w:rsid w:val="0050134A"/>
    <w:rsid w:val="00502C8C"/>
    <w:rsid w:val="00516751"/>
    <w:rsid w:val="00522051"/>
    <w:rsid w:val="00522F80"/>
    <w:rsid w:val="00537D35"/>
    <w:rsid w:val="00572452"/>
    <w:rsid w:val="00593A49"/>
    <w:rsid w:val="00596649"/>
    <w:rsid w:val="005A66D3"/>
    <w:rsid w:val="005B288C"/>
    <w:rsid w:val="005C11FD"/>
    <w:rsid w:val="005C184D"/>
    <w:rsid w:val="005C2482"/>
    <w:rsid w:val="005E66BC"/>
    <w:rsid w:val="005F2A29"/>
    <w:rsid w:val="006154DA"/>
    <w:rsid w:val="006209BE"/>
    <w:rsid w:val="00624E31"/>
    <w:rsid w:val="00625736"/>
    <w:rsid w:val="006257AC"/>
    <w:rsid w:val="00625AD9"/>
    <w:rsid w:val="0062674B"/>
    <w:rsid w:val="0063368D"/>
    <w:rsid w:val="00633C0F"/>
    <w:rsid w:val="0063445C"/>
    <w:rsid w:val="0063685E"/>
    <w:rsid w:val="00640A47"/>
    <w:rsid w:val="006528C4"/>
    <w:rsid w:val="006648F1"/>
    <w:rsid w:val="00676712"/>
    <w:rsid w:val="00687014"/>
    <w:rsid w:val="006C03BD"/>
    <w:rsid w:val="006C3528"/>
    <w:rsid w:val="006E50BA"/>
    <w:rsid w:val="006F0897"/>
    <w:rsid w:val="00705F7D"/>
    <w:rsid w:val="007072FC"/>
    <w:rsid w:val="00716515"/>
    <w:rsid w:val="0072375F"/>
    <w:rsid w:val="00731C89"/>
    <w:rsid w:val="007467F1"/>
    <w:rsid w:val="007471BC"/>
    <w:rsid w:val="00751DB8"/>
    <w:rsid w:val="00756B32"/>
    <w:rsid w:val="00761CF6"/>
    <w:rsid w:val="007674AC"/>
    <w:rsid w:val="00771775"/>
    <w:rsid w:val="00785C7A"/>
    <w:rsid w:val="007A5A72"/>
    <w:rsid w:val="007B2BCE"/>
    <w:rsid w:val="007B630C"/>
    <w:rsid w:val="007C3614"/>
    <w:rsid w:val="007D12D1"/>
    <w:rsid w:val="007D727C"/>
    <w:rsid w:val="007E5939"/>
    <w:rsid w:val="007F229B"/>
    <w:rsid w:val="007F2D48"/>
    <w:rsid w:val="007F4FE6"/>
    <w:rsid w:val="007F618F"/>
    <w:rsid w:val="0080363F"/>
    <w:rsid w:val="00810D3E"/>
    <w:rsid w:val="008149C1"/>
    <w:rsid w:val="0081632E"/>
    <w:rsid w:val="008176D8"/>
    <w:rsid w:val="00822FE8"/>
    <w:rsid w:val="00824740"/>
    <w:rsid w:val="008338B8"/>
    <w:rsid w:val="00841FA9"/>
    <w:rsid w:val="008469A3"/>
    <w:rsid w:val="00857FE8"/>
    <w:rsid w:val="0087503B"/>
    <w:rsid w:val="00876527"/>
    <w:rsid w:val="00881B9D"/>
    <w:rsid w:val="00886881"/>
    <w:rsid w:val="008903B1"/>
    <w:rsid w:val="00897540"/>
    <w:rsid w:val="008A15A9"/>
    <w:rsid w:val="008A2918"/>
    <w:rsid w:val="008C5907"/>
    <w:rsid w:val="008D23C7"/>
    <w:rsid w:val="008D2F97"/>
    <w:rsid w:val="008D75ED"/>
    <w:rsid w:val="008E325F"/>
    <w:rsid w:val="008E353E"/>
    <w:rsid w:val="008F73AA"/>
    <w:rsid w:val="00900DFE"/>
    <w:rsid w:val="00906BA3"/>
    <w:rsid w:val="009137C0"/>
    <w:rsid w:val="00916FCB"/>
    <w:rsid w:val="00922DAA"/>
    <w:rsid w:val="00931476"/>
    <w:rsid w:val="009335F6"/>
    <w:rsid w:val="00935677"/>
    <w:rsid w:val="0094685D"/>
    <w:rsid w:val="00950629"/>
    <w:rsid w:val="009535F0"/>
    <w:rsid w:val="00975A26"/>
    <w:rsid w:val="00980F5C"/>
    <w:rsid w:val="0099151C"/>
    <w:rsid w:val="009A35D9"/>
    <w:rsid w:val="009A4039"/>
    <w:rsid w:val="009A55BB"/>
    <w:rsid w:val="009B0002"/>
    <w:rsid w:val="009B12B5"/>
    <w:rsid w:val="009C1D78"/>
    <w:rsid w:val="009D05F8"/>
    <w:rsid w:val="009D1A05"/>
    <w:rsid w:val="009D2830"/>
    <w:rsid w:val="009D533F"/>
    <w:rsid w:val="009E1DFD"/>
    <w:rsid w:val="00A11A7D"/>
    <w:rsid w:val="00A170E2"/>
    <w:rsid w:val="00A171FA"/>
    <w:rsid w:val="00A2082F"/>
    <w:rsid w:val="00A23ABC"/>
    <w:rsid w:val="00A33521"/>
    <w:rsid w:val="00A40A7F"/>
    <w:rsid w:val="00A4379E"/>
    <w:rsid w:val="00A45260"/>
    <w:rsid w:val="00A55ED5"/>
    <w:rsid w:val="00A601A2"/>
    <w:rsid w:val="00A67B21"/>
    <w:rsid w:val="00A70470"/>
    <w:rsid w:val="00A71737"/>
    <w:rsid w:val="00A83957"/>
    <w:rsid w:val="00A8535A"/>
    <w:rsid w:val="00AB2F56"/>
    <w:rsid w:val="00AC1A31"/>
    <w:rsid w:val="00AD129D"/>
    <w:rsid w:val="00AD30B4"/>
    <w:rsid w:val="00AD7A4E"/>
    <w:rsid w:val="00AF6636"/>
    <w:rsid w:val="00AF6D1F"/>
    <w:rsid w:val="00B00998"/>
    <w:rsid w:val="00B102DF"/>
    <w:rsid w:val="00B17860"/>
    <w:rsid w:val="00B25524"/>
    <w:rsid w:val="00B2653E"/>
    <w:rsid w:val="00B42FD2"/>
    <w:rsid w:val="00B454AA"/>
    <w:rsid w:val="00B61CC5"/>
    <w:rsid w:val="00B955AA"/>
    <w:rsid w:val="00B96961"/>
    <w:rsid w:val="00BA14F0"/>
    <w:rsid w:val="00BA162B"/>
    <w:rsid w:val="00BA56F7"/>
    <w:rsid w:val="00BC2D31"/>
    <w:rsid w:val="00BD01B6"/>
    <w:rsid w:val="00BE3D67"/>
    <w:rsid w:val="00BE5FD2"/>
    <w:rsid w:val="00BF5E13"/>
    <w:rsid w:val="00C01B2A"/>
    <w:rsid w:val="00C07043"/>
    <w:rsid w:val="00C2130A"/>
    <w:rsid w:val="00C26535"/>
    <w:rsid w:val="00C51E86"/>
    <w:rsid w:val="00C55B82"/>
    <w:rsid w:val="00C6310E"/>
    <w:rsid w:val="00C70D07"/>
    <w:rsid w:val="00C721BC"/>
    <w:rsid w:val="00C722A6"/>
    <w:rsid w:val="00C77323"/>
    <w:rsid w:val="00C84A59"/>
    <w:rsid w:val="00CA3C1E"/>
    <w:rsid w:val="00CB300E"/>
    <w:rsid w:val="00CB59B0"/>
    <w:rsid w:val="00CD0BAD"/>
    <w:rsid w:val="00CD2CEA"/>
    <w:rsid w:val="00CF4760"/>
    <w:rsid w:val="00D01E41"/>
    <w:rsid w:val="00D13246"/>
    <w:rsid w:val="00D21534"/>
    <w:rsid w:val="00D22BF6"/>
    <w:rsid w:val="00D230AC"/>
    <w:rsid w:val="00D25BD5"/>
    <w:rsid w:val="00D2666A"/>
    <w:rsid w:val="00D27DE0"/>
    <w:rsid w:val="00D308AC"/>
    <w:rsid w:val="00D450C0"/>
    <w:rsid w:val="00D46CC2"/>
    <w:rsid w:val="00D616A1"/>
    <w:rsid w:val="00D638C0"/>
    <w:rsid w:val="00D65752"/>
    <w:rsid w:val="00D800C2"/>
    <w:rsid w:val="00D93A71"/>
    <w:rsid w:val="00DA0C2E"/>
    <w:rsid w:val="00DB38DE"/>
    <w:rsid w:val="00DB593D"/>
    <w:rsid w:val="00DB60BE"/>
    <w:rsid w:val="00DC02CF"/>
    <w:rsid w:val="00DC42E3"/>
    <w:rsid w:val="00DE3D7F"/>
    <w:rsid w:val="00DE5324"/>
    <w:rsid w:val="00DF5427"/>
    <w:rsid w:val="00E034F5"/>
    <w:rsid w:val="00E12F58"/>
    <w:rsid w:val="00E21BEE"/>
    <w:rsid w:val="00E24F4A"/>
    <w:rsid w:val="00E372BC"/>
    <w:rsid w:val="00E64E60"/>
    <w:rsid w:val="00E87CC1"/>
    <w:rsid w:val="00E94232"/>
    <w:rsid w:val="00EB6609"/>
    <w:rsid w:val="00EC16D7"/>
    <w:rsid w:val="00EC7BB1"/>
    <w:rsid w:val="00ED2C9F"/>
    <w:rsid w:val="00ED6980"/>
    <w:rsid w:val="00ED6A2C"/>
    <w:rsid w:val="00ED7BB4"/>
    <w:rsid w:val="00EE511F"/>
    <w:rsid w:val="00EE7D75"/>
    <w:rsid w:val="00EF2FCB"/>
    <w:rsid w:val="00EF5042"/>
    <w:rsid w:val="00EF5049"/>
    <w:rsid w:val="00EF5BC7"/>
    <w:rsid w:val="00F00E21"/>
    <w:rsid w:val="00F011C4"/>
    <w:rsid w:val="00F0146B"/>
    <w:rsid w:val="00F2199E"/>
    <w:rsid w:val="00F35CC3"/>
    <w:rsid w:val="00F508AA"/>
    <w:rsid w:val="00F50C82"/>
    <w:rsid w:val="00F55720"/>
    <w:rsid w:val="00F610FF"/>
    <w:rsid w:val="00F62E0B"/>
    <w:rsid w:val="00F67F3E"/>
    <w:rsid w:val="00F823CA"/>
    <w:rsid w:val="00F8458D"/>
    <w:rsid w:val="00F91D2A"/>
    <w:rsid w:val="00F94132"/>
    <w:rsid w:val="00F967E4"/>
    <w:rsid w:val="00FA49D9"/>
    <w:rsid w:val="00FA4A65"/>
    <w:rsid w:val="00FC50D3"/>
    <w:rsid w:val="00FD13E4"/>
    <w:rsid w:val="00FD4929"/>
    <w:rsid w:val="00FE0687"/>
    <w:rsid w:val="00FE2091"/>
    <w:rsid w:val="00FE3444"/>
    <w:rsid w:val="00FE6D0F"/>
    <w:rsid w:val="00FE7D13"/>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F7879"/>
  <w15:docId w15:val="{B04C4D5A-DB0E-4EA1-BB0E-E88E7577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E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25AD9"/>
    <w:rPr>
      <w:color w:val="0563C1" w:themeColor="hyperlink"/>
      <w:u w:val="single"/>
    </w:rPr>
  </w:style>
  <w:style w:type="table" w:styleId="Tabelacomgrade">
    <w:name w:val="Table Grid"/>
    <w:basedOn w:val="Tabelanormal"/>
    <w:uiPriority w:val="59"/>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FE6"/>
  </w:style>
  <w:style w:type="paragraph" w:styleId="Rodap">
    <w:name w:val="footer"/>
    <w:basedOn w:val="Normal"/>
    <w:link w:val="RodapChar"/>
    <w:uiPriority w:val="99"/>
    <w:unhideWhenUsed/>
    <w:rsid w:val="007F4FE6"/>
    <w:pPr>
      <w:tabs>
        <w:tab w:val="center" w:pos="4252"/>
        <w:tab w:val="right" w:pos="8504"/>
      </w:tabs>
      <w:spacing w:after="0" w:line="240" w:lineRule="auto"/>
    </w:pPr>
  </w:style>
  <w:style w:type="character" w:customStyle="1" w:styleId="RodapChar">
    <w:name w:val="Rodapé Char"/>
    <w:basedOn w:val="Fontepargpadro"/>
    <w:link w:val="Rodap"/>
    <w:uiPriority w:val="99"/>
    <w:rsid w:val="007F4FE6"/>
  </w:style>
  <w:style w:type="paragraph" w:styleId="Textodebalo">
    <w:name w:val="Balloon Text"/>
    <w:basedOn w:val="Normal"/>
    <w:link w:val="TextodebaloChar"/>
    <w:uiPriority w:val="99"/>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FCB"/>
    <w:rPr>
      <w:rFonts w:ascii="Tahoma" w:hAnsi="Tahoma" w:cs="Tahoma"/>
      <w:sz w:val="16"/>
      <w:szCs w:val="16"/>
    </w:rPr>
  </w:style>
  <w:style w:type="paragraph" w:styleId="PargrafodaLista">
    <w:name w:val="List Paragraph"/>
    <w:basedOn w:val="Normal"/>
    <w:uiPriority w:val="34"/>
    <w:qFormat/>
    <w:rsid w:val="00EC7BB1"/>
    <w:pPr>
      <w:spacing w:after="160" w:line="259" w:lineRule="auto"/>
      <w:ind w:left="720"/>
      <w:contextualSpacing/>
    </w:pPr>
  </w:style>
  <w:style w:type="paragraph" w:styleId="Textodenotaderodap">
    <w:name w:val="footnote text"/>
    <w:basedOn w:val="Normal"/>
    <w:link w:val="TextodenotaderodapChar"/>
    <w:uiPriority w:val="99"/>
    <w:semiHidden/>
    <w:unhideWhenUsed/>
    <w:rsid w:val="00F91D2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91D2A"/>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91D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37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71403-8A7D-4B66-90DA-535980F59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3308</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Licitações</dc:creator>
  <cp:lastModifiedBy>ADMESTAG</cp:lastModifiedBy>
  <cp:revision>2</cp:revision>
  <cp:lastPrinted>2022-05-02T14:23:00Z</cp:lastPrinted>
  <dcterms:created xsi:type="dcterms:W3CDTF">2022-05-02T18:35:00Z</dcterms:created>
  <dcterms:modified xsi:type="dcterms:W3CDTF">2022-05-02T18:35:00Z</dcterms:modified>
</cp:coreProperties>
</file>