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C56FBF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3460E0">
        <w:rPr>
          <w:rFonts w:ascii="Arial" w:hAnsi="Arial" w:cs="Arial"/>
          <w:b/>
          <w:sz w:val="24"/>
          <w:szCs w:val="24"/>
        </w:rPr>
        <w:t>041</w:t>
      </w:r>
    </w:p>
    <w:p w:rsidR="00C42BBD" w:rsidRPr="00C56FBF" w:rsidRDefault="00C42BBD" w:rsidP="00C42BB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3460E0">
        <w:rPr>
          <w:rFonts w:ascii="Arial" w:hAnsi="Arial" w:cs="Arial"/>
          <w:bCs/>
          <w:sz w:val="24"/>
          <w:szCs w:val="24"/>
        </w:rPr>
        <w:t>1º</w:t>
      </w:r>
      <w:r w:rsidR="00792E7E">
        <w:rPr>
          <w:rFonts w:ascii="Arial" w:hAnsi="Arial" w:cs="Arial"/>
          <w:bCs/>
          <w:sz w:val="24"/>
          <w:szCs w:val="24"/>
        </w:rPr>
        <w:t xml:space="preserve"> de </w:t>
      </w:r>
      <w:r w:rsidR="003460E0">
        <w:rPr>
          <w:rFonts w:ascii="Arial" w:hAnsi="Arial" w:cs="Arial"/>
          <w:bCs/>
          <w:sz w:val="24"/>
          <w:szCs w:val="24"/>
        </w:rPr>
        <w:t>fevereiro de 2022.</w:t>
      </w:r>
    </w:p>
    <w:p w:rsidR="00D054E0" w:rsidRPr="00B36600" w:rsidRDefault="00D054E0" w:rsidP="003460E0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D054E0" w:rsidRPr="00ED3F0C" w:rsidRDefault="00ED3F0C" w:rsidP="003460E0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“ALTERA PORTARIA N° </w:t>
      </w:r>
      <w:r w:rsidRPr="00ED3F0C">
        <w:rPr>
          <w:rFonts w:ascii="Arial" w:hAnsi="Arial" w:cs="Arial"/>
          <w:bCs/>
          <w:sz w:val="24"/>
          <w:szCs w:val="24"/>
        </w:rPr>
        <w:t>PORTARIA Nº</w:t>
      </w:r>
      <w:r w:rsidR="003460E0">
        <w:rPr>
          <w:rFonts w:ascii="Arial" w:hAnsi="Arial" w:cs="Arial"/>
          <w:bCs/>
          <w:sz w:val="24"/>
          <w:szCs w:val="24"/>
        </w:rPr>
        <w:t xml:space="preserve"> </w:t>
      </w:r>
      <w:r w:rsidRPr="00ED3F0C">
        <w:rPr>
          <w:rFonts w:ascii="Arial" w:hAnsi="Arial" w:cs="Arial"/>
          <w:bCs/>
          <w:sz w:val="24"/>
          <w:szCs w:val="24"/>
        </w:rPr>
        <w:t>357</w:t>
      </w:r>
      <w:r w:rsidRPr="00C56FBF">
        <w:rPr>
          <w:rFonts w:ascii="Arial" w:hAnsi="Arial" w:cs="Arial"/>
          <w:bCs/>
          <w:sz w:val="24"/>
          <w:szCs w:val="24"/>
        </w:rPr>
        <w:t>,</w:t>
      </w:r>
      <w:r w:rsidR="003460E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25 DE NOVEMBRO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>
        <w:rPr>
          <w:rFonts w:ascii="Arial" w:hAnsi="Arial" w:cs="Arial"/>
          <w:bCs/>
          <w:sz w:val="24"/>
          <w:szCs w:val="24"/>
        </w:rPr>
        <w:t xml:space="preserve">, E CONDECE ADICIONAL DE INSALUBRIDADE, E </w:t>
      </w:r>
      <w:r w:rsidRPr="00B36600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A</w:t>
      </w:r>
      <w:r w:rsidRPr="00B36600">
        <w:rPr>
          <w:rFonts w:ascii="Arial" w:hAnsi="Arial" w:cs="Arial"/>
          <w:bCs/>
          <w:sz w:val="24"/>
          <w:szCs w:val="24"/>
        </w:rPr>
        <w:t xml:space="preserve">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:rsidR="00D054E0" w:rsidRDefault="00D054E0" w:rsidP="003460E0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D054E0" w:rsidRPr="00B36600" w:rsidRDefault="00D054E0" w:rsidP="003460E0">
      <w:pPr>
        <w:shd w:val="clear" w:color="auto" w:fill="FFFFFF"/>
        <w:ind w:left="426"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I, “a”, da Lei Orgânica Municipal, e</w:t>
      </w:r>
    </w:p>
    <w:p w:rsidR="00D054E0" w:rsidRPr="00B36600" w:rsidRDefault="00D054E0" w:rsidP="003460E0">
      <w:pPr>
        <w:shd w:val="clear" w:color="auto" w:fill="FFFFFF"/>
        <w:ind w:left="426"/>
        <w:jc w:val="both"/>
        <w:rPr>
          <w:rFonts w:ascii="Arial" w:hAnsi="Arial" w:cs="Arial"/>
          <w:sz w:val="24"/>
          <w:szCs w:val="24"/>
        </w:rPr>
      </w:pPr>
    </w:p>
    <w:p w:rsidR="00D054E0" w:rsidRPr="00B36600" w:rsidRDefault="00D054E0" w:rsidP="003460E0">
      <w:pPr>
        <w:shd w:val="clear" w:color="auto" w:fill="FFFFFF"/>
        <w:ind w:left="426" w:firstLine="1134"/>
        <w:jc w:val="both"/>
        <w:rPr>
          <w:rFonts w:ascii="Arial" w:hAnsi="Arial" w:cs="Arial"/>
          <w:sz w:val="24"/>
          <w:szCs w:val="24"/>
        </w:rPr>
      </w:pPr>
    </w:p>
    <w:p w:rsidR="00D054E0" w:rsidRPr="00B36600" w:rsidRDefault="00D054E0" w:rsidP="003460E0">
      <w:pPr>
        <w:shd w:val="clear" w:color="auto" w:fill="FFFFFF"/>
        <w:ind w:left="426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:rsidR="00D054E0" w:rsidRPr="00B36600" w:rsidRDefault="00D054E0" w:rsidP="003460E0">
      <w:pPr>
        <w:shd w:val="clear" w:color="auto" w:fill="FFFFFF"/>
        <w:ind w:left="426"/>
        <w:jc w:val="both"/>
        <w:rPr>
          <w:rFonts w:ascii="Arial" w:hAnsi="Arial" w:cs="Arial"/>
          <w:sz w:val="24"/>
          <w:szCs w:val="24"/>
        </w:rPr>
      </w:pPr>
    </w:p>
    <w:p w:rsidR="00D054E0" w:rsidRDefault="00D054E0" w:rsidP="003460E0">
      <w:pPr>
        <w:shd w:val="clear" w:color="auto" w:fill="FFFFFF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O Art. 1° permanece com a seguinte redação:</w:t>
      </w:r>
    </w:p>
    <w:p w:rsidR="00D054E0" w:rsidRDefault="00D054E0" w:rsidP="003460E0">
      <w:pPr>
        <w:shd w:val="clear" w:color="auto" w:fill="FFFFFF"/>
        <w:ind w:left="426" w:firstLine="1134"/>
        <w:jc w:val="both"/>
        <w:rPr>
          <w:rFonts w:ascii="Arial" w:hAnsi="Arial" w:cs="Arial"/>
          <w:sz w:val="24"/>
          <w:szCs w:val="24"/>
        </w:rPr>
      </w:pPr>
    </w:p>
    <w:p w:rsidR="00D054E0" w:rsidRPr="00837CEB" w:rsidRDefault="00D054E0" w:rsidP="003460E0">
      <w:pPr>
        <w:shd w:val="clear" w:color="auto" w:fill="FFFFFF"/>
        <w:ind w:left="241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Conceder adicional de insalubridade, no percentual de 25% (vinte e cinco por cento), enquanto exercerem suas atribuições em condições insalubres ou essas venham a </w:t>
      </w:r>
      <w:r w:rsidRPr="00837CEB">
        <w:rPr>
          <w:rFonts w:ascii="Arial" w:hAnsi="Arial" w:cs="Arial"/>
          <w:sz w:val="24"/>
          <w:szCs w:val="24"/>
        </w:rPr>
        <w:t>ser eliminadas, aos servidores identificados pelas matrículas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42,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43,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44,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76,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86</w:t>
      </w:r>
      <w:r w:rsidRPr="00837CEB">
        <w:rPr>
          <w:rFonts w:ascii="Arial" w:hAnsi="Arial" w:cs="Arial"/>
          <w:sz w:val="24"/>
          <w:szCs w:val="24"/>
        </w:rPr>
        <w:t>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211,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212,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219,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227,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301,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>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463,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464,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499,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550,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919,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920</w:t>
      </w:r>
      <w:r w:rsidRPr="00837CEB">
        <w:rPr>
          <w:rFonts w:ascii="Arial" w:hAnsi="Arial" w:cs="Arial"/>
          <w:sz w:val="24"/>
          <w:szCs w:val="24"/>
        </w:rPr>
        <w:t>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927,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967,1157,1333,</w:t>
      </w:r>
      <w:r w:rsidR="00E03E5B">
        <w:rPr>
          <w:rFonts w:ascii="Arial" w:hAnsi="Arial" w:cs="Arial"/>
          <w:sz w:val="24"/>
          <w:szCs w:val="24"/>
        </w:rPr>
        <w:t xml:space="preserve"> </w:t>
      </w:r>
      <w:r w:rsidRPr="00837CEB">
        <w:rPr>
          <w:rFonts w:ascii="Arial" w:hAnsi="Arial" w:cs="Arial"/>
          <w:sz w:val="24"/>
          <w:szCs w:val="24"/>
        </w:rPr>
        <w:t>1528,1622,</w:t>
      </w:r>
      <w:r>
        <w:rPr>
          <w:rFonts w:ascii="Arial" w:hAnsi="Arial" w:cs="Arial"/>
          <w:sz w:val="24"/>
          <w:szCs w:val="24"/>
        </w:rPr>
        <w:t>1625,1686,1710,1715,1718</w:t>
      </w:r>
      <w:r w:rsidRPr="00837CEB">
        <w:rPr>
          <w:rFonts w:ascii="Arial" w:hAnsi="Arial" w:cs="Arial"/>
          <w:sz w:val="24"/>
          <w:szCs w:val="24"/>
        </w:rPr>
        <w:t>,1733,</w:t>
      </w:r>
      <w:r>
        <w:rPr>
          <w:rFonts w:ascii="Arial" w:hAnsi="Arial" w:cs="Arial"/>
          <w:sz w:val="24"/>
          <w:szCs w:val="24"/>
        </w:rPr>
        <w:t>1736,</w:t>
      </w:r>
      <w:r w:rsidR="00E03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1738</w:t>
      </w:r>
      <w:r w:rsidRPr="00837C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1746,1759</w:t>
      </w:r>
      <w:r w:rsidRPr="00837C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1788</w:t>
      </w:r>
      <w:r w:rsidR="00E03E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1811,1831,1893,1894,1975,2103</w:t>
      </w:r>
      <w:r w:rsidR="003460E0">
        <w:rPr>
          <w:rFonts w:ascii="Arial" w:hAnsi="Arial" w:cs="Arial"/>
          <w:sz w:val="24"/>
          <w:szCs w:val="24"/>
        </w:rPr>
        <w:t>,</w:t>
      </w:r>
      <w:r w:rsidRPr="00837CEB">
        <w:rPr>
          <w:rFonts w:ascii="Arial" w:hAnsi="Arial" w:cs="Arial"/>
          <w:sz w:val="24"/>
          <w:szCs w:val="24"/>
        </w:rPr>
        <w:t>2139</w:t>
      </w:r>
      <w:r>
        <w:rPr>
          <w:rFonts w:ascii="Arial" w:hAnsi="Arial" w:cs="Arial"/>
          <w:sz w:val="24"/>
          <w:szCs w:val="24"/>
        </w:rPr>
        <w:t>,</w:t>
      </w:r>
      <w:r w:rsidR="00673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2191,2240,2242</w:t>
      </w:r>
      <w:r w:rsidR="00F17817">
        <w:rPr>
          <w:rFonts w:ascii="Arial" w:hAnsi="Arial" w:cs="Arial"/>
          <w:sz w:val="24"/>
          <w:szCs w:val="24"/>
        </w:rPr>
        <w:t>;</w:t>
      </w:r>
    </w:p>
    <w:p w:rsidR="00D054E0" w:rsidRDefault="00D054E0" w:rsidP="003460E0">
      <w:pPr>
        <w:shd w:val="clear" w:color="auto" w:fill="FFFFFF"/>
        <w:ind w:left="567" w:firstLine="1134"/>
        <w:jc w:val="both"/>
        <w:rPr>
          <w:rFonts w:ascii="Arial" w:hAnsi="Arial" w:cs="Arial"/>
          <w:sz w:val="24"/>
          <w:szCs w:val="24"/>
        </w:rPr>
      </w:pPr>
    </w:p>
    <w:p w:rsidR="00D054E0" w:rsidRPr="00B36600" w:rsidRDefault="00D054E0" w:rsidP="003460E0">
      <w:pPr>
        <w:shd w:val="clear" w:color="auto" w:fill="FFFFFF"/>
        <w:ind w:left="56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D054E0" w:rsidRPr="00B36600" w:rsidRDefault="00D054E0" w:rsidP="00D054E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054E0" w:rsidRDefault="00D054E0" w:rsidP="00D054E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D054E0" w:rsidRPr="00B36600" w:rsidRDefault="00D054E0" w:rsidP="00D054E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3460E0">
        <w:rPr>
          <w:rFonts w:ascii="Arial" w:hAnsi="Arial" w:cs="Arial"/>
          <w:sz w:val="24"/>
          <w:szCs w:val="24"/>
        </w:rPr>
        <w:t xml:space="preserve"> /</w:t>
      </w:r>
      <w:bookmarkStart w:id="0" w:name="_GoBack"/>
      <w:r w:rsidR="00765AC4">
        <w:rPr>
          <w:rFonts w:ascii="Arial" w:hAnsi="Arial" w:cs="Arial"/>
          <w:sz w:val="24"/>
          <w:szCs w:val="24"/>
        </w:rPr>
        <w:t>SC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="003460E0">
        <w:rPr>
          <w:rFonts w:ascii="Arial" w:hAnsi="Arial" w:cs="Arial"/>
          <w:sz w:val="24"/>
          <w:szCs w:val="24"/>
        </w:rPr>
        <w:t>1º de fevereiro de 2021</w:t>
      </w:r>
    </w:p>
    <w:p w:rsidR="00D054E0" w:rsidRDefault="00D054E0" w:rsidP="00D054E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054E0" w:rsidRDefault="00D054E0" w:rsidP="00D054E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054E0" w:rsidRDefault="00D054E0" w:rsidP="00D054E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054E0" w:rsidRDefault="00D054E0" w:rsidP="00D054E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C42BBD" w:rsidRDefault="00C42BBD" w:rsidP="00D054E0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:rsidR="00C42BBD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BBD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C42BBD" w:rsidRPr="00E470C7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C42BBD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:rsidR="00C42BBD" w:rsidRPr="00EF1508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F2368E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:rsidR="009A748E" w:rsidRPr="00F2368E" w:rsidRDefault="003460E0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1º/02/2022</w:t>
            </w:r>
          </w:p>
          <w:p w:rsidR="009A748E" w:rsidRPr="00F2368E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:rsidR="009A748E" w:rsidRPr="00F2368E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2368E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F2368E">
              <w:rPr>
                <w:rFonts w:ascii="Arial" w:hAnsi="Arial" w:cs="Arial"/>
                <w:sz w:val="20"/>
              </w:rPr>
              <w:t xml:space="preserve"> Marina Andrade</w:t>
            </w:r>
            <w:r>
              <w:rPr>
                <w:rFonts w:ascii="Arial" w:hAnsi="Arial" w:cs="Arial"/>
                <w:sz w:val="20"/>
              </w:rPr>
              <w:t xml:space="preserve"> Abreu</w:t>
            </w:r>
          </w:p>
          <w:p w:rsidR="009A748E" w:rsidRPr="00F2368E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  <w:p w:rsidR="009A748E" w:rsidRPr="00C230E5" w:rsidRDefault="009A748E" w:rsidP="009A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6BF2" w:rsidRPr="00FE6BF2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FE6BF2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71" w:rsidRDefault="00ED5671">
      <w:r>
        <w:separator/>
      </w:r>
    </w:p>
  </w:endnote>
  <w:endnote w:type="continuationSeparator" w:id="0">
    <w:p w:rsidR="00ED5671" w:rsidRDefault="00ED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031C3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71" w:rsidRDefault="00ED5671">
      <w:r>
        <w:separator/>
      </w:r>
    </w:p>
  </w:footnote>
  <w:footnote w:type="continuationSeparator" w:id="0">
    <w:p w:rsidR="00ED5671" w:rsidRDefault="00ED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031C3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031C3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031C3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031C3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031C3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1C3E"/>
    <w:rsid w:val="00032DD7"/>
    <w:rsid w:val="0003305D"/>
    <w:rsid w:val="00035485"/>
    <w:rsid w:val="00037810"/>
    <w:rsid w:val="00037858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11D5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0E0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689F"/>
    <w:rsid w:val="00410A45"/>
    <w:rsid w:val="004172DA"/>
    <w:rsid w:val="00417F56"/>
    <w:rsid w:val="00423081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3FCC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65AC4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2E7E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2D4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5294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1FE6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A6F62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054E0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3E5B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3F0C"/>
    <w:rsid w:val="00ED5671"/>
    <w:rsid w:val="00ED70A3"/>
    <w:rsid w:val="00ED75D7"/>
    <w:rsid w:val="00ED7F1D"/>
    <w:rsid w:val="00EE066C"/>
    <w:rsid w:val="00EF0C56"/>
    <w:rsid w:val="00EF0E8B"/>
    <w:rsid w:val="00EF721E"/>
    <w:rsid w:val="00F0077F"/>
    <w:rsid w:val="00F00DFE"/>
    <w:rsid w:val="00F01B83"/>
    <w:rsid w:val="00F0546D"/>
    <w:rsid w:val="00F14375"/>
    <w:rsid w:val="00F17817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5D9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89592A-22C8-4F41-A7CF-7C47093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DFD4-E637-41FA-BF15-BB388F4F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3</cp:revision>
  <cp:lastPrinted>2022-02-01T17:22:00Z</cp:lastPrinted>
  <dcterms:created xsi:type="dcterms:W3CDTF">2022-02-01T17:22:00Z</dcterms:created>
  <dcterms:modified xsi:type="dcterms:W3CDTF">2022-02-02T14:52:00Z</dcterms:modified>
</cp:coreProperties>
</file>