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F035" w14:textId="77777777" w:rsidR="00F35052" w:rsidRPr="002E2137" w:rsidRDefault="00F35052" w:rsidP="00F35052">
      <w:pPr>
        <w:shd w:val="clear" w:color="auto" w:fill="FFFFFF"/>
        <w:spacing w:after="0" w:line="240" w:lineRule="auto"/>
        <w:jc w:val="center"/>
        <w:rPr>
          <w:rFonts w:cs="Arial"/>
          <w:b/>
          <w:szCs w:val="24"/>
        </w:rPr>
      </w:pPr>
      <w:bookmarkStart w:id="1" w:name="_GoBack"/>
      <w:r w:rsidRPr="002E2137">
        <w:rPr>
          <w:rFonts w:cs="Arial"/>
          <w:b/>
          <w:szCs w:val="24"/>
        </w:rPr>
        <w:t>PORTARIA N °370,</w:t>
      </w:r>
    </w:p>
    <w:p w14:paraId="525FE18B" w14:textId="77777777" w:rsidR="00F35052" w:rsidRPr="00033610" w:rsidRDefault="00F35052" w:rsidP="00F35052">
      <w:pPr>
        <w:shd w:val="clear" w:color="auto" w:fill="FFFFFF"/>
        <w:spacing w:after="0" w:line="240" w:lineRule="auto"/>
        <w:jc w:val="center"/>
        <w:rPr>
          <w:rFonts w:cs="Arial"/>
          <w:bCs/>
          <w:szCs w:val="24"/>
        </w:rPr>
      </w:pPr>
      <w:r w:rsidRPr="00033610"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16 de novembro</w:t>
      </w:r>
      <w:r w:rsidRPr="000336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</w:t>
      </w:r>
      <w:r w:rsidRPr="00033610">
        <w:rPr>
          <w:rFonts w:cs="Arial"/>
          <w:bCs/>
          <w:szCs w:val="24"/>
        </w:rPr>
        <w:t>e 202</w:t>
      </w:r>
      <w:r>
        <w:rPr>
          <w:rFonts w:cs="Arial"/>
          <w:bCs/>
          <w:szCs w:val="24"/>
        </w:rPr>
        <w:t>1</w:t>
      </w:r>
      <w:r w:rsidRPr="00033610">
        <w:rPr>
          <w:rFonts w:cs="Arial"/>
          <w:bCs/>
          <w:szCs w:val="24"/>
        </w:rPr>
        <w:t>.</w:t>
      </w:r>
    </w:p>
    <w:p w14:paraId="435C657E" w14:textId="77777777" w:rsidR="00F35052" w:rsidRPr="00033610" w:rsidRDefault="00F35052" w:rsidP="00F35052">
      <w:pPr>
        <w:shd w:val="clear" w:color="auto" w:fill="FFFFFF"/>
        <w:rPr>
          <w:rFonts w:cs="Arial"/>
          <w:bCs/>
          <w:szCs w:val="24"/>
        </w:rPr>
      </w:pPr>
    </w:p>
    <w:p w14:paraId="4AAE5E00" w14:textId="77777777" w:rsidR="00F35052" w:rsidRDefault="00F35052" w:rsidP="00F35052">
      <w:pPr>
        <w:shd w:val="clear" w:color="auto" w:fill="FFFFFF"/>
        <w:spacing w:line="240" w:lineRule="auto"/>
        <w:ind w:left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“NOMEIA COMISSÃO PARA APURAR RESPONSABILIDADE DE CONTRATADA QUANTO À SOLIDEZ DE OBRA EXECUTADA, POSTERIORMENTE INTERDITADA PELO CORPO DE BOMBEIROS MILITAR DE SANTA CATARINA, E DÁ OUTRAS PROVIDÊNCIAS”.</w:t>
      </w:r>
    </w:p>
    <w:p w14:paraId="1E590DEE" w14:textId="77777777" w:rsidR="00F35052" w:rsidRDefault="00F35052" w:rsidP="00F35052">
      <w:pPr>
        <w:shd w:val="clear" w:color="auto" w:fill="FFFFFF"/>
        <w:ind w:left="1134"/>
        <w:rPr>
          <w:rFonts w:cs="Arial"/>
          <w:bCs/>
          <w:szCs w:val="24"/>
        </w:rPr>
      </w:pPr>
    </w:p>
    <w:p w14:paraId="59781476" w14:textId="77777777" w:rsidR="00F35052" w:rsidRDefault="00F35052" w:rsidP="00F35052">
      <w:pPr>
        <w:shd w:val="clear" w:color="auto" w:fill="FFFFFF"/>
        <w:ind w:firstLine="113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ERLON TANCREDO COSTA, Prefeito do Município de Rio Rufino/SC, no uso das atribuições que lhe confere o art. 82, II, “f” da Lei Orgânica Municipal, </w:t>
      </w:r>
    </w:p>
    <w:p w14:paraId="6EB5EB20" w14:textId="77777777" w:rsidR="00F35052" w:rsidRPr="00565E1F" w:rsidRDefault="00F35052" w:rsidP="00F35052">
      <w:pPr>
        <w:shd w:val="clear" w:color="auto" w:fill="FFFFFF"/>
        <w:ind w:firstLine="1134"/>
        <w:rPr>
          <w:rFonts w:cs="Arial"/>
          <w:bCs/>
          <w:szCs w:val="24"/>
        </w:rPr>
      </w:pPr>
    </w:p>
    <w:p w14:paraId="540A18EB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 w:rsidRPr="00033610">
        <w:rPr>
          <w:rFonts w:cs="Arial"/>
          <w:szCs w:val="24"/>
        </w:rPr>
        <w:t xml:space="preserve">CONSIDERANDO </w:t>
      </w:r>
      <w:r>
        <w:rPr>
          <w:rFonts w:cs="Arial"/>
          <w:szCs w:val="24"/>
        </w:rPr>
        <w:t>o Auto de Interdição lavrado pelo Corpo de Bombeiros Militar de Santa Catarina em relação ao imóvel construído, que teve sua execução contratada por meio da Tomada de Preços nº 02/2020 e Contrato de Prestação de Serviço nº 35/2020;</w:t>
      </w:r>
    </w:p>
    <w:p w14:paraId="226AD799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 que a interdição do imóvel, segundo o Corpo de Bombeiros Militar de Santa Catarina, foi necessária devido à possibilidade iminente de colapso estrutural da estrutura;</w:t>
      </w:r>
    </w:p>
    <w:p w14:paraId="77DDD575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 que, para desinterdição do imóvel há necessidade de apresentação de laudo subscrito por engenheiro ou arquiteto com a respectiva ART ou RAT atestando que o imóvel não apresenta risco de colapso estrutural, bem como ateste que o imóvel pode ser liberado para utilização sem riscos;</w:t>
      </w:r>
    </w:p>
    <w:p w14:paraId="1452D148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 que a construção interditada se destina à utilização por alunos da rede pública municipal de ensino para a prática de atividades físicas não apenas como disciplina curricular, mas também para desenvolvimento saudável e ocupação do tempo ocioso;</w:t>
      </w:r>
    </w:p>
    <w:p w14:paraId="483380A9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 que é obrigação do CONTRATADO garantir a solidez da obra executada, tanto em relação à segurança do trabalho realizado, quanto aos materiais utilizados e ao solo, nos termos do art. 618 do Código Civil;</w:t>
      </w:r>
    </w:p>
    <w:p w14:paraId="7ADBB480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 que o</w:t>
      </w:r>
      <w:r w:rsidRPr="007209D7">
        <w:rPr>
          <w:rFonts w:cs="Arial"/>
          <w:szCs w:val="24"/>
        </w:rPr>
        <w:t xml:space="preserve"> contratado é obrigado a reparar, corrigir, remover, reconstruir ou substituir, às suas expensas, no total ou em parte, o objeto do contrato em que se verificarem vícios, defeitos ou incorreções resultantes da execução ou de materiais empregados</w:t>
      </w:r>
      <w:r>
        <w:rPr>
          <w:rFonts w:cs="Arial"/>
          <w:szCs w:val="24"/>
        </w:rPr>
        <w:t xml:space="preserve"> (art. 69), bem como </w:t>
      </w:r>
      <w:r w:rsidRPr="007209D7">
        <w:rPr>
          <w:rFonts w:cs="Arial"/>
          <w:szCs w:val="24"/>
        </w:rPr>
        <w:t xml:space="preserve">é responsável pelos danos causados diretamente à Administração ou a terceiros, decorrentes de sua culpa ou dolo na execução do contrato, não excluindo ou reduzindo essa responsabilidade a fiscalização </w:t>
      </w:r>
      <w:r w:rsidRPr="007209D7">
        <w:rPr>
          <w:rFonts w:cs="Arial"/>
          <w:szCs w:val="24"/>
        </w:rPr>
        <w:lastRenderedPageBreak/>
        <w:t>ou o acompanhamento pelo órgão interessado</w:t>
      </w:r>
      <w:r>
        <w:rPr>
          <w:rFonts w:cs="Arial"/>
          <w:szCs w:val="24"/>
        </w:rPr>
        <w:t xml:space="preserve"> (art.70), conforme a Lei nº 8.666, de 21 de junho de 1993;</w:t>
      </w:r>
    </w:p>
    <w:p w14:paraId="59A87BEC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CONSIDERANDO que o contraditório e ampla defesa devem ser assegurados a todos, nos termos do art. 5º, LV da Constituição Federal; </w:t>
      </w:r>
    </w:p>
    <w:p w14:paraId="2FA6FC74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CONSIDERANDO, ainda, que a execução do objeto foi possível devido aos recursos financeiros do Convênio nº 2019TR1407 firmado com o Estado de Santa Catarina, e que eles não se destinavam à construção de ginásio e quadra de esportes, mas tão somente à reforma de unidade escolar;</w:t>
      </w:r>
    </w:p>
    <w:p w14:paraId="342FC150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CONSIDERANDO que o emprego dos recursos na execução de obra não prevista no convênio citado acima foi </w:t>
      </w:r>
      <w:proofErr w:type="gramStart"/>
      <w:r>
        <w:rPr>
          <w:rFonts w:cs="Arial"/>
          <w:szCs w:val="24"/>
        </w:rPr>
        <w:t>considerada</w:t>
      </w:r>
      <w:proofErr w:type="gramEnd"/>
      <w:r>
        <w:rPr>
          <w:rFonts w:cs="Arial"/>
          <w:szCs w:val="24"/>
        </w:rPr>
        <w:t xml:space="preserve"> irregular pelo (...) do Governo do Estado de Santa Catarina, o qual requisitou a devolução dos valores transferidos;</w:t>
      </w:r>
    </w:p>
    <w:p w14:paraId="2717E55E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CONSIDERANDO a possibilidade da ocorrência de </w:t>
      </w:r>
      <w:proofErr w:type="spellStart"/>
      <w:r>
        <w:rPr>
          <w:rFonts w:cs="Arial"/>
          <w:szCs w:val="24"/>
        </w:rPr>
        <w:t>dano</w:t>
      </w:r>
      <w:proofErr w:type="spellEnd"/>
      <w:r>
        <w:rPr>
          <w:rFonts w:cs="Arial"/>
          <w:szCs w:val="24"/>
        </w:rPr>
        <w:t xml:space="preserve"> ao erário com a devolução de valores já empregados, cuja obra, em desacordo com o convênio firmado foi interditada pelo Corpo de Bombeiros Militar de Santa Catarina,</w:t>
      </w:r>
    </w:p>
    <w:p w14:paraId="5AC70FAD" w14:textId="77777777" w:rsidR="00F35052" w:rsidRPr="00033610" w:rsidRDefault="00F35052" w:rsidP="00F35052">
      <w:pPr>
        <w:shd w:val="clear" w:color="auto" w:fill="FFFFFF"/>
        <w:ind w:firstLine="1134"/>
        <w:rPr>
          <w:rFonts w:cs="Arial"/>
          <w:szCs w:val="24"/>
        </w:rPr>
      </w:pPr>
    </w:p>
    <w:p w14:paraId="2BC1AFC7" w14:textId="35071052" w:rsidR="00F35052" w:rsidRPr="00033610" w:rsidRDefault="00F35052" w:rsidP="00F35052">
      <w:pPr>
        <w:shd w:val="clear" w:color="auto" w:fill="FFFFFF"/>
        <w:jc w:val="center"/>
        <w:rPr>
          <w:rFonts w:cs="Arial"/>
          <w:szCs w:val="24"/>
        </w:rPr>
      </w:pPr>
      <w:r w:rsidRPr="00033610">
        <w:rPr>
          <w:rFonts w:cs="Arial"/>
          <w:szCs w:val="24"/>
        </w:rPr>
        <w:t>RESOLVE</w:t>
      </w:r>
    </w:p>
    <w:p w14:paraId="408129B4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 w:rsidRPr="00033610">
        <w:rPr>
          <w:rFonts w:cs="Arial"/>
          <w:szCs w:val="24"/>
        </w:rPr>
        <w:t xml:space="preserve">Art.1º </w:t>
      </w:r>
      <w:r>
        <w:rPr>
          <w:rFonts w:cs="Arial"/>
          <w:szCs w:val="24"/>
        </w:rPr>
        <w:t xml:space="preserve">Instituir comissão de processo administrativo para apurar responsabilidade na execução do objeto da Tomada de Preços nº 02/2020 e Contrato de Prestação de Serviço nº 35/2020, cujo imóvel foi interditado pelo Corpo Bombeiros Militar de Santa Catarina por causa do iminente risco de colapso estrutural. </w:t>
      </w:r>
    </w:p>
    <w:p w14:paraId="3629B203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Art. 2º A comissão de que trata o artigo anterior será composta de 03 (três) membros, sendo eles:</w:t>
      </w:r>
    </w:p>
    <w:p w14:paraId="789EEBD6" w14:textId="7ABFA96F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I – DILVANA SOARES MAC</w:t>
      </w:r>
      <w:r w:rsidR="00A37B5D">
        <w:rPr>
          <w:rFonts w:cs="Arial"/>
          <w:szCs w:val="24"/>
        </w:rPr>
        <w:t>C</w:t>
      </w:r>
      <w:r>
        <w:rPr>
          <w:rFonts w:cs="Arial"/>
          <w:szCs w:val="24"/>
        </w:rPr>
        <w:t>ARIN</w:t>
      </w:r>
      <w:r w:rsidR="00A37B5D">
        <w:rPr>
          <w:rFonts w:cs="Arial"/>
          <w:szCs w:val="24"/>
        </w:rPr>
        <w:t>I</w:t>
      </w:r>
      <w:r>
        <w:rPr>
          <w:rFonts w:cs="Arial"/>
          <w:szCs w:val="24"/>
        </w:rPr>
        <w:t>, Secretária de Educação, Cultura e Esportes, matricula n° 68;</w:t>
      </w:r>
    </w:p>
    <w:p w14:paraId="03CA6D47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II   </w:t>
      </w:r>
      <w:proofErr w:type="gramStart"/>
      <w:r>
        <w:rPr>
          <w:rFonts w:cs="Arial"/>
          <w:szCs w:val="24"/>
        </w:rPr>
        <w:t>–  ELIZIANA</w:t>
      </w:r>
      <w:proofErr w:type="gramEnd"/>
      <w:r>
        <w:rPr>
          <w:rFonts w:cs="Arial"/>
          <w:szCs w:val="24"/>
        </w:rPr>
        <w:t xml:space="preserve"> DARROITE RAMOS OLIVEIRA, Professora, matricula n° 1.900;</w:t>
      </w:r>
    </w:p>
    <w:p w14:paraId="07CEEC14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III </w:t>
      </w:r>
      <w:proofErr w:type="gramStart"/>
      <w:r>
        <w:rPr>
          <w:rFonts w:cs="Arial"/>
          <w:szCs w:val="24"/>
        </w:rPr>
        <w:t>–  VANDERLEI</w:t>
      </w:r>
      <w:proofErr w:type="gramEnd"/>
      <w:r>
        <w:rPr>
          <w:rFonts w:cs="Arial"/>
          <w:szCs w:val="24"/>
        </w:rPr>
        <w:t xml:space="preserve"> COPETTI, Orientador Escolar, matricula n° 476.</w:t>
      </w:r>
    </w:p>
    <w:p w14:paraId="00BDF6B3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Art. 3º À comissão instituída por esta portaria compete instruir o processo administrativo, promovendo intimações, citações, notificações e requisições que sirvam à formação de seu convencimento, bem como observar o contraditório e ampla defesa dos envolvidos.</w:t>
      </w:r>
    </w:p>
    <w:p w14:paraId="3BC5FA2C" w14:textId="68B19C16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Art. 4º O processo administrativo instituído por esta portaria observará as disposições dos artigos 137 a 145, da Seção III, Capítulo III, da Lei Complementar </w:t>
      </w:r>
      <w:r>
        <w:rPr>
          <w:rFonts w:cs="Arial"/>
          <w:szCs w:val="24"/>
        </w:rPr>
        <w:lastRenderedPageBreak/>
        <w:t>Municipal nº 05, de 02 de fevereiro de 2004, subsidiada e complementada, se for o caso, pela Lei nº 9.784, de 29 de janeiro de 1999.</w:t>
      </w:r>
    </w:p>
    <w:p w14:paraId="351B4998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§ 1º As sanções resultantes deste processo consistem:</w:t>
      </w:r>
    </w:p>
    <w:p w14:paraId="72E31D5D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I – </w:t>
      </w:r>
      <w:proofErr w:type="gramStart"/>
      <w:r>
        <w:rPr>
          <w:rFonts w:cs="Arial"/>
          <w:szCs w:val="24"/>
        </w:rPr>
        <w:t>na</w:t>
      </w:r>
      <w:proofErr w:type="gramEnd"/>
      <w:r>
        <w:rPr>
          <w:rFonts w:cs="Arial"/>
          <w:szCs w:val="24"/>
        </w:rPr>
        <w:t xml:space="preserve"> </w:t>
      </w:r>
      <w:r w:rsidRPr="007209D7">
        <w:rPr>
          <w:rFonts w:cs="Arial"/>
          <w:szCs w:val="24"/>
        </w:rPr>
        <w:t>repara</w:t>
      </w:r>
      <w:r>
        <w:rPr>
          <w:rFonts w:cs="Arial"/>
          <w:szCs w:val="24"/>
        </w:rPr>
        <w:t>ção</w:t>
      </w:r>
      <w:r w:rsidRPr="007209D7">
        <w:rPr>
          <w:rFonts w:cs="Arial"/>
          <w:szCs w:val="24"/>
        </w:rPr>
        <w:t>, corr</w:t>
      </w:r>
      <w:r>
        <w:rPr>
          <w:rFonts w:cs="Arial"/>
          <w:szCs w:val="24"/>
        </w:rPr>
        <w:t>eção</w:t>
      </w:r>
      <w:r w:rsidRPr="007209D7">
        <w:rPr>
          <w:rFonts w:cs="Arial"/>
          <w:szCs w:val="24"/>
        </w:rPr>
        <w:t>, remo</w:t>
      </w:r>
      <w:r>
        <w:rPr>
          <w:rFonts w:cs="Arial"/>
          <w:szCs w:val="24"/>
        </w:rPr>
        <w:t>ção</w:t>
      </w:r>
      <w:r w:rsidRPr="007209D7">
        <w:rPr>
          <w:rFonts w:cs="Arial"/>
          <w:szCs w:val="24"/>
        </w:rPr>
        <w:t>, reconstru</w:t>
      </w:r>
      <w:r>
        <w:rPr>
          <w:rFonts w:cs="Arial"/>
          <w:szCs w:val="24"/>
        </w:rPr>
        <w:t>ção</w:t>
      </w:r>
      <w:r w:rsidRPr="007209D7">
        <w:rPr>
          <w:rFonts w:cs="Arial"/>
          <w:szCs w:val="24"/>
        </w:rPr>
        <w:t xml:space="preserve"> ou substitui</w:t>
      </w:r>
      <w:r>
        <w:rPr>
          <w:rFonts w:cs="Arial"/>
          <w:szCs w:val="24"/>
        </w:rPr>
        <w:t>ção</w:t>
      </w:r>
      <w:r w:rsidRPr="007209D7">
        <w:rPr>
          <w:rFonts w:cs="Arial"/>
          <w:szCs w:val="24"/>
        </w:rPr>
        <w:t xml:space="preserve">, às suas expensas, no total ou em parte, </w:t>
      </w:r>
      <w:r>
        <w:rPr>
          <w:rFonts w:cs="Arial"/>
          <w:szCs w:val="24"/>
        </w:rPr>
        <w:t>d</w:t>
      </w:r>
      <w:r w:rsidRPr="007209D7">
        <w:rPr>
          <w:rFonts w:cs="Arial"/>
          <w:szCs w:val="24"/>
        </w:rPr>
        <w:t>o objeto do contrato em que se verificarem vícios, defeitos ou incorreções resultantes da execução ou de materiais empregados</w:t>
      </w:r>
      <w:r>
        <w:rPr>
          <w:rFonts w:cs="Arial"/>
          <w:szCs w:val="24"/>
        </w:rPr>
        <w:t xml:space="preserve"> (art. 69, Lei 8.666/93);</w:t>
      </w:r>
    </w:p>
    <w:p w14:paraId="0DEA6E20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II – </w:t>
      </w:r>
      <w:proofErr w:type="gramStart"/>
      <w:r>
        <w:rPr>
          <w:rFonts w:cs="Arial"/>
          <w:szCs w:val="24"/>
        </w:rPr>
        <w:t>as</w:t>
      </w:r>
      <w:proofErr w:type="gramEnd"/>
      <w:r>
        <w:rPr>
          <w:rFonts w:cs="Arial"/>
          <w:szCs w:val="24"/>
        </w:rPr>
        <w:t xml:space="preserve"> previstas nos artigos 86 a 88 da Lei de Licitações; e</w:t>
      </w:r>
    </w:p>
    <w:p w14:paraId="1E271A1E" w14:textId="2CD1636D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III – as previstas no edital e contrato.</w:t>
      </w:r>
    </w:p>
    <w:p w14:paraId="5D21A712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§ 2º Sem prejuízo das sanções descritas acima, a Administração Municipal poderá buscar reparação civil junto ao Poder Judiciário.</w:t>
      </w:r>
    </w:p>
    <w:p w14:paraId="6F1343E3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Art. 5º Sem prejuízo da apresentação de laudo pela contratada, que ateste que o imóvel está apto à utilização, nos termos definidos pelo Corpo de Bombeiros Militar de Santa Catarina, a elaboração de laudo sobre as condições do imóvel, a fim de subsidiar a tomada decisão quanto aos procedimentos a serem adotados.</w:t>
      </w:r>
    </w:p>
    <w:p w14:paraId="51206050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§ 1º Fica a Administração Pública Municipal autorizada a contratar pessoa jurídica ou física especializada em perícias de engenharia para elaboração de laudo analítico das condições do imóvel interditado, assim como para que apresente as medidas a serem adotadas ao saneamento das irregularidades.</w:t>
      </w:r>
    </w:p>
    <w:p w14:paraId="621BB8D9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 xml:space="preserve">§ 2º A contratação observará o processo licitatório, podendo ser dispensado ou </w:t>
      </w:r>
      <w:proofErr w:type="spellStart"/>
      <w:r>
        <w:rPr>
          <w:rFonts w:cs="Arial"/>
          <w:szCs w:val="24"/>
        </w:rPr>
        <w:t>inexigido</w:t>
      </w:r>
      <w:proofErr w:type="spellEnd"/>
      <w:r>
        <w:rPr>
          <w:rFonts w:cs="Arial"/>
          <w:szCs w:val="24"/>
        </w:rPr>
        <w:t>, contanto que preenchidos os requisitos legais.</w:t>
      </w:r>
    </w:p>
    <w:p w14:paraId="5C8F4A3A" w14:textId="77777777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Art. 6º O prazo de conclusão do processo administrativo instituído por esta portaria será de 90 (noventa) dias úteis, podendo ser prorrogado por igual período.</w:t>
      </w:r>
    </w:p>
    <w:p w14:paraId="51C16B62" w14:textId="045C82DC" w:rsidR="00F35052" w:rsidRDefault="00F35052" w:rsidP="00F35052">
      <w:pPr>
        <w:shd w:val="clear" w:color="auto" w:fill="FFFFFF"/>
        <w:ind w:firstLine="1134"/>
        <w:rPr>
          <w:rFonts w:cs="Arial"/>
          <w:szCs w:val="24"/>
        </w:rPr>
      </w:pPr>
      <w:r>
        <w:rPr>
          <w:rFonts w:cs="Arial"/>
          <w:szCs w:val="24"/>
        </w:rPr>
        <w:t>Art. 7º Notifique-se o Ministério Público e o Tribunal de Contas de Santa Catarina sobre as medidas adotadas, com cópia integral do processo licitatório e demais atos que instruem o processo instaurado por esta portaria.</w:t>
      </w:r>
    </w:p>
    <w:tbl>
      <w:tblPr>
        <w:tblStyle w:val="Tabelacomgrade"/>
        <w:tblpPr w:leftFromText="141" w:rightFromText="141" w:vertAnchor="text" w:horzAnchor="page" w:tblpX="571" w:tblpY="715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35052" w:rsidRPr="00F35052" w14:paraId="07B5D3A9" w14:textId="77777777" w:rsidTr="00F35052">
        <w:trPr>
          <w:trHeight w:val="423"/>
        </w:trPr>
        <w:tc>
          <w:tcPr>
            <w:tcW w:w="3256" w:type="dxa"/>
          </w:tcPr>
          <w:p w14:paraId="2A98CB8C" w14:textId="77777777" w:rsidR="00F35052" w:rsidRPr="000F1E9A" w:rsidRDefault="00F35052" w:rsidP="00F350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F1E9A">
              <w:rPr>
                <w:rFonts w:cs="Arial"/>
                <w:sz w:val="20"/>
                <w:szCs w:val="20"/>
              </w:rPr>
              <w:t xml:space="preserve">Encaminhado para publicação no DOM em </w:t>
            </w:r>
          </w:p>
          <w:p w14:paraId="42C58337" w14:textId="77777777" w:rsidR="00F35052" w:rsidRPr="000F1E9A" w:rsidRDefault="00F35052" w:rsidP="00F350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F1E9A">
              <w:rPr>
                <w:rFonts w:cs="Arial"/>
                <w:sz w:val="20"/>
                <w:szCs w:val="20"/>
              </w:rPr>
              <w:t>16/12/2021</w:t>
            </w:r>
          </w:p>
          <w:p w14:paraId="2E47A827" w14:textId="77777777" w:rsidR="00F35052" w:rsidRPr="000F1E9A" w:rsidRDefault="00F35052" w:rsidP="00F35052">
            <w:pPr>
              <w:pBdr>
                <w:bottom w:val="single" w:sz="12" w:space="1" w:color="auto"/>
              </w:pBd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E0AAB79" w14:textId="77777777" w:rsidR="00F35052" w:rsidRPr="000F1E9A" w:rsidRDefault="00F35052" w:rsidP="00F35052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0F1E9A">
              <w:rPr>
                <w:rFonts w:cs="Arial"/>
                <w:sz w:val="20"/>
                <w:szCs w:val="20"/>
              </w:rPr>
              <w:t>Katiusce</w:t>
            </w:r>
            <w:proofErr w:type="spellEnd"/>
            <w:r w:rsidRPr="000F1E9A">
              <w:rPr>
                <w:rFonts w:cs="Arial"/>
                <w:sz w:val="20"/>
                <w:szCs w:val="20"/>
              </w:rPr>
              <w:t xml:space="preserve"> Marina Andrade</w:t>
            </w:r>
          </w:p>
          <w:p w14:paraId="4A61097D" w14:textId="77777777" w:rsidR="00F35052" w:rsidRPr="00F35052" w:rsidRDefault="00F35052" w:rsidP="00F35052">
            <w:pPr>
              <w:shd w:val="clear" w:color="auto" w:fill="FFFFFF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F1E9A">
              <w:rPr>
                <w:rFonts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044171E3" w14:textId="77777777" w:rsidR="00F35052" w:rsidRDefault="00F35052" w:rsidP="00F35052">
      <w:pPr>
        <w:shd w:val="clear" w:color="auto" w:fill="FFFFFF"/>
        <w:ind w:left="426" w:firstLine="708"/>
        <w:rPr>
          <w:rFonts w:cs="Arial"/>
          <w:szCs w:val="24"/>
        </w:rPr>
      </w:pPr>
      <w:r>
        <w:rPr>
          <w:rFonts w:cs="Arial"/>
          <w:szCs w:val="24"/>
        </w:rPr>
        <w:t>Art. 8º Esta portaria entra em vigor na data de sua publicação.</w:t>
      </w:r>
    </w:p>
    <w:p w14:paraId="5DBAC6D0" w14:textId="77777777" w:rsidR="00F35052" w:rsidRDefault="00F35052" w:rsidP="00F35052">
      <w:pPr>
        <w:shd w:val="clear" w:color="auto" w:fill="FFFFFF"/>
        <w:rPr>
          <w:rFonts w:cs="Arial"/>
          <w:szCs w:val="24"/>
        </w:rPr>
      </w:pPr>
    </w:p>
    <w:p w14:paraId="6169FFFD" w14:textId="77777777" w:rsidR="00F35052" w:rsidRDefault="00F35052" w:rsidP="00F35052">
      <w:pPr>
        <w:shd w:val="clear" w:color="auto" w:fill="FFFFFF"/>
        <w:rPr>
          <w:rFonts w:cs="Arial"/>
          <w:szCs w:val="24"/>
        </w:rPr>
      </w:pPr>
    </w:p>
    <w:p w14:paraId="1F6116AE" w14:textId="77777777" w:rsidR="00F35052" w:rsidRPr="00F24F44" w:rsidRDefault="00F35052" w:rsidP="00F35052">
      <w:pPr>
        <w:spacing w:after="0" w:line="240" w:lineRule="auto"/>
        <w:jc w:val="center"/>
        <w:rPr>
          <w:rFonts w:cs="Arial"/>
          <w:b/>
          <w:szCs w:val="24"/>
        </w:rPr>
      </w:pPr>
      <w:r w:rsidRPr="00F24F44">
        <w:rPr>
          <w:rFonts w:cs="Arial"/>
          <w:b/>
          <w:szCs w:val="24"/>
        </w:rPr>
        <w:t>ERLON TANCREDO COSTA</w:t>
      </w:r>
    </w:p>
    <w:p w14:paraId="6AAFCCC7" w14:textId="77777777" w:rsidR="00F35052" w:rsidRPr="0082068B" w:rsidRDefault="00F35052" w:rsidP="00F35052">
      <w:pPr>
        <w:spacing w:after="0" w:line="240" w:lineRule="auto"/>
        <w:jc w:val="center"/>
      </w:pPr>
      <w:r w:rsidRPr="0082068B">
        <w:rPr>
          <w:rFonts w:cs="Arial"/>
          <w:szCs w:val="24"/>
        </w:rPr>
        <w:t>Prefeito</w:t>
      </w:r>
      <w:r>
        <w:rPr>
          <w:rFonts w:cs="Arial"/>
          <w:szCs w:val="24"/>
        </w:rPr>
        <w:t xml:space="preserve"> de Rio Rufino</w:t>
      </w:r>
    </w:p>
    <w:bookmarkEnd w:id="1"/>
    <w:p w14:paraId="3CDE32B8" w14:textId="77777777" w:rsidR="00F24F44" w:rsidRPr="00F35052" w:rsidRDefault="00F24F44" w:rsidP="00F35052"/>
    <w:sectPr w:rsidR="00F24F44" w:rsidRPr="00F35052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BD1A" w14:textId="77777777" w:rsidR="00272BE1" w:rsidRDefault="00272BE1" w:rsidP="007F4FE6">
      <w:pPr>
        <w:spacing w:after="0" w:line="240" w:lineRule="auto"/>
      </w:pPr>
      <w:r>
        <w:separator/>
      </w:r>
    </w:p>
  </w:endnote>
  <w:endnote w:type="continuationSeparator" w:id="0">
    <w:p w14:paraId="75436F7A" w14:textId="77777777" w:rsidR="00272BE1" w:rsidRDefault="00272BE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2F4F60" w:rsidR="00D27DE0" w:rsidRPr="001C4F35" w:rsidRDefault="00A56341" w:rsidP="00F35052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77A8088A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560310" cy="1125855"/>
          <wp:effectExtent l="0" t="0" r="254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580957">
      <w:rPr>
        <w:rFonts w:eastAsia="Times New Roman" w:cs="Arial"/>
        <w:noProof/>
        <w:sz w:val="20"/>
        <w:lang w:eastAsia="pt-BR"/>
      </w:rPr>
      <w:t>2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ED130A">
      <w:fldChar w:fldCharType="begin"/>
    </w:r>
    <w:r w:rsidR="00ED130A">
      <w:instrText>NUMPAGES  \* Arabic  \* MERGEFORMAT</w:instrText>
    </w:r>
    <w:r w:rsidR="00ED130A">
      <w:fldChar w:fldCharType="separate"/>
    </w:r>
    <w:r w:rsidR="00580957">
      <w:rPr>
        <w:noProof/>
      </w:rPr>
      <w:t>2</w:t>
    </w:r>
    <w:r w:rsidR="00ED130A">
      <w:rPr>
        <w:noProof/>
      </w:rPr>
      <w:fldChar w:fldCharType="end"/>
    </w:r>
  </w:p>
  <w:p w14:paraId="1A8485F4" w14:textId="651EFEAD" w:rsidR="00D27DE0" w:rsidRPr="001C4F35" w:rsidRDefault="00D27DE0" w:rsidP="00F35052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6913B329" w14:textId="7AD40B6B" w:rsidR="00D27DE0" w:rsidRPr="001C4F35" w:rsidRDefault="00D27DE0" w:rsidP="00F35052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F7E0" w14:textId="77777777" w:rsidR="00272BE1" w:rsidRDefault="00272BE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EADD43A" w14:textId="77777777" w:rsidR="00272BE1" w:rsidRDefault="00272BE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0095D3DC" w:rsidR="00AD30B4" w:rsidRDefault="005F65E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CDC1D2E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675D9F" w:rsidRDefault="00AD30B4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675D9F" w:rsidRDefault="00AD30B4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675D9F" w:rsidRDefault="000A7027" w:rsidP="005F65E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</w:pPr>
                                <w:r w:rsidRPr="00675D9F"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675D9F" w:rsidRDefault="00AD30B4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675D9F" w:rsidRDefault="00AD30B4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675D9F" w:rsidRDefault="000A7027" w:rsidP="005F65EA">
                          <w:pPr>
                            <w:spacing w:after="0" w:line="360" w:lineRule="auto"/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</w:rPr>
                          </w:pPr>
                          <w:r w:rsidRPr="00675D9F">
                            <w:rPr>
                              <w:rFonts w:cs="Arial"/>
                              <w:b/>
                              <w:color w:val="000000" w:themeColor="text1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0EED4224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189B7396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E4F12"/>
    <w:rsid w:val="000F07F5"/>
    <w:rsid w:val="000F1E9A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2BE1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6D0D"/>
    <w:rsid w:val="003970BC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6593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777A8"/>
    <w:rsid w:val="00580957"/>
    <w:rsid w:val="00593A49"/>
    <w:rsid w:val="00596649"/>
    <w:rsid w:val="005A66D3"/>
    <w:rsid w:val="005B288C"/>
    <w:rsid w:val="005B4AFC"/>
    <w:rsid w:val="005C11FD"/>
    <w:rsid w:val="005C184D"/>
    <w:rsid w:val="005C2482"/>
    <w:rsid w:val="005E66BC"/>
    <w:rsid w:val="005F2A29"/>
    <w:rsid w:val="005F65EA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36F36"/>
    <w:rsid w:val="00746171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7267"/>
    <w:rsid w:val="00871560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1D1B"/>
    <w:rsid w:val="00906BA3"/>
    <w:rsid w:val="00915354"/>
    <w:rsid w:val="00916FCB"/>
    <w:rsid w:val="00924DFF"/>
    <w:rsid w:val="00931476"/>
    <w:rsid w:val="009335F6"/>
    <w:rsid w:val="0094685D"/>
    <w:rsid w:val="00950629"/>
    <w:rsid w:val="009535F0"/>
    <w:rsid w:val="00980F5C"/>
    <w:rsid w:val="0099151C"/>
    <w:rsid w:val="00994D21"/>
    <w:rsid w:val="009A35D9"/>
    <w:rsid w:val="009A4039"/>
    <w:rsid w:val="009A55BB"/>
    <w:rsid w:val="009A7A6F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37B5D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2D1B"/>
    <w:rsid w:val="00AA7B96"/>
    <w:rsid w:val="00AB2F56"/>
    <w:rsid w:val="00AB66E4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75C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CF4B8F"/>
    <w:rsid w:val="00D01E41"/>
    <w:rsid w:val="00D07E26"/>
    <w:rsid w:val="00D13246"/>
    <w:rsid w:val="00D13C11"/>
    <w:rsid w:val="00D21534"/>
    <w:rsid w:val="00D230AC"/>
    <w:rsid w:val="00D2376F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95CE1"/>
    <w:rsid w:val="00EA0FB7"/>
    <w:rsid w:val="00EC16D7"/>
    <w:rsid w:val="00ED130A"/>
    <w:rsid w:val="00ED2C9F"/>
    <w:rsid w:val="00ED6980"/>
    <w:rsid w:val="00ED76ED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4F44"/>
    <w:rsid w:val="00F35052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11A28DBC-6D7C-4786-B73F-F3AA34E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315C-3144-4693-9F5C-FE43E0CA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2</cp:revision>
  <cp:lastPrinted>2021-12-16T14:45:00Z</cp:lastPrinted>
  <dcterms:created xsi:type="dcterms:W3CDTF">2021-12-17T19:25:00Z</dcterms:created>
  <dcterms:modified xsi:type="dcterms:W3CDTF">2021-12-17T19:25:00Z</dcterms:modified>
</cp:coreProperties>
</file>